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outlineLvl w:val="1"/>
        <w:rPr>
          <w:rFonts w:hint="eastAsia" w:ascii="楷体" w:hAnsi="楷体" w:eastAsia="楷体" w:cs="MS Mincho"/>
          <w:b/>
          <w:bCs/>
          <w:sz w:val="32"/>
          <w:szCs w:val="32"/>
          <w:lang w:val="en-US"/>
        </w:rPr>
      </w:pPr>
      <w:r>
        <w:rPr>
          <w:rFonts w:hint="eastAsia" w:ascii="楷体" w:hAnsi="楷体" w:eastAsia="楷体" w:cs="MS Mincho"/>
          <w:b/>
          <w:bCs/>
          <w:sz w:val="32"/>
          <w:szCs w:val="32"/>
          <w:lang w:val="en-US"/>
        </w:rPr>
        <w:t>中国北方（泰达）一站式出海服务基地</w:t>
      </w:r>
    </w:p>
    <w:p>
      <w:pPr>
        <w:spacing w:before="100" w:beforeAutospacing="1" w:after="100" w:afterAutospacing="1" w:line="360" w:lineRule="auto"/>
        <w:jc w:val="center"/>
        <w:outlineLvl w:val="1"/>
        <w:rPr>
          <w:rFonts w:ascii="楷体" w:hAnsi="楷体" w:eastAsia="楷体" w:cs="MS Mincho"/>
          <w:b/>
          <w:bCs/>
          <w:sz w:val="32"/>
          <w:szCs w:val="32"/>
          <w:lang w:val="en-US"/>
        </w:rPr>
      </w:pPr>
      <w:r>
        <w:rPr>
          <w:rFonts w:hint="eastAsia" w:ascii="楷体" w:hAnsi="楷体" w:eastAsia="楷体" w:cs="MS Mincho"/>
          <w:b/>
          <w:bCs/>
          <w:sz w:val="32"/>
          <w:szCs w:val="32"/>
          <w:lang w:val="en-US"/>
        </w:rPr>
        <w:t>全球出海合伙人合作公约</w:t>
      </w:r>
    </w:p>
    <w:p>
      <w:pPr>
        <w:spacing w:before="100" w:beforeAutospacing="1" w:after="100" w:afterAutospacing="1" w:line="360" w:lineRule="auto"/>
        <w:jc w:val="center"/>
        <w:outlineLvl w:val="1"/>
        <w:rPr>
          <w:rFonts w:hint="eastAsia" w:ascii="楷体" w:hAnsi="楷体" w:eastAsia="楷体" w:cs="MS Mincho"/>
          <w:b/>
          <w:bCs/>
          <w:sz w:val="32"/>
          <w:szCs w:val="32"/>
          <w:lang w:val="en-US"/>
        </w:rPr>
      </w:pPr>
    </w:p>
    <w:p>
      <w:pPr>
        <w:spacing w:before="100" w:beforeAutospacing="1" w:after="100" w:afterAutospacing="1" w:line="360" w:lineRule="auto"/>
        <w:ind w:firstLine="560" w:firstLineChars="200"/>
        <w:rPr>
          <w:rFonts w:hint="eastAsia" w:ascii="楷体" w:hAnsi="楷体" w:eastAsia="楷体"/>
          <w:sz w:val="28"/>
          <w:szCs w:val="28"/>
        </w:rPr>
      </w:pPr>
      <w:r>
        <w:rPr>
          <w:rFonts w:hint="eastAsia" w:ascii="楷体" w:hAnsi="楷体" w:eastAsia="楷体" w:cs="PingFang TC"/>
          <w:sz w:val="28"/>
          <w:szCs w:val="28"/>
        </w:rPr>
        <w:t>为</w:t>
      </w:r>
      <w:r>
        <w:rPr>
          <w:rFonts w:hint="eastAsia" w:ascii="楷体" w:hAnsi="楷体" w:eastAsia="楷体" w:cs="MS Mincho"/>
          <w:sz w:val="28"/>
          <w:szCs w:val="28"/>
        </w:rPr>
        <w:t>保障全球出海合伙人网</w:t>
      </w:r>
      <w:r>
        <w:rPr>
          <w:rFonts w:hint="eastAsia" w:ascii="楷体" w:hAnsi="楷体" w:eastAsia="楷体" w:cs="PingFang TC"/>
          <w:sz w:val="28"/>
          <w:szCs w:val="28"/>
        </w:rPr>
        <w:t>络</w:t>
      </w:r>
      <w:r>
        <w:rPr>
          <w:rFonts w:hint="eastAsia" w:ascii="楷体" w:hAnsi="楷体" w:eastAsia="楷体" w:cs="MS Mincho"/>
          <w:sz w:val="28"/>
          <w:szCs w:val="28"/>
        </w:rPr>
        <w:t>健康有序</w:t>
      </w:r>
      <w:r>
        <w:rPr>
          <w:rFonts w:hint="eastAsia" w:ascii="楷体" w:hAnsi="楷体" w:eastAsia="楷体" w:cs="PingFang TC"/>
          <w:sz w:val="28"/>
          <w:szCs w:val="28"/>
        </w:rPr>
        <w:t>发</w:t>
      </w:r>
      <w:r>
        <w:rPr>
          <w:rFonts w:hint="eastAsia" w:ascii="楷体" w:hAnsi="楷体" w:eastAsia="楷体" w:cs="MS Mincho"/>
          <w:sz w:val="28"/>
          <w:szCs w:val="28"/>
        </w:rPr>
        <w:t>展，构建互信、</w:t>
      </w:r>
      <w:r>
        <w:rPr>
          <w:rFonts w:hint="eastAsia" w:ascii="楷体" w:hAnsi="楷体" w:eastAsia="楷体" w:cs="PingFang TC"/>
          <w:sz w:val="28"/>
          <w:szCs w:val="28"/>
        </w:rPr>
        <w:t>协</w:t>
      </w:r>
      <w:r>
        <w:rPr>
          <w:rFonts w:hint="eastAsia" w:ascii="楷体" w:hAnsi="楷体" w:eastAsia="楷体" w:cs="MS Mincho"/>
          <w:sz w:val="28"/>
          <w:szCs w:val="28"/>
        </w:rPr>
        <w:t>同、开放的出海生</w:t>
      </w:r>
      <w:r>
        <w:rPr>
          <w:rFonts w:hint="eastAsia" w:ascii="楷体" w:hAnsi="楷体" w:eastAsia="楷体" w:cs="PingFang TC"/>
          <w:sz w:val="28"/>
          <w:szCs w:val="28"/>
        </w:rPr>
        <w:t>态</w:t>
      </w:r>
      <w:r>
        <w:rPr>
          <w:rFonts w:hint="eastAsia" w:ascii="楷体" w:hAnsi="楷体" w:eastAsia="楷体" w:cs="MS Mincho"/>
          <w:sz w:val="28"/>
          <w:szCs w:val="28"/>
        </w:rPr>
        <w:t>体系，全球出海合伙人自愿遵守以下公</w:t>
      </w:r>
      <w:r>
        <w:rPr>
          <w:rFonts w:hint="eastAsia" w:ascii="楷体" w:hAnsi="楷体" w:eastAsia="楷体" w:cs="PingFang TC"/>
          <w:sz w:val="28"/>
          <w:szCs w:val="28"/>
        </w:rPr>
        <w:t>约</w:t>
      </w:r>
      <w:r>
        <w:rPr>
          <w:rFonts w:ascii="楷体" w:hAnsi="楷体" w:eastAsia="楷体" w:cs="MS Mincho"/>
          <w:sz w:val="28"/>
          <w:szCs w:val="28"/>
        </w:rPr>
        <w:t>：</w:t>
      </w:r>
    </w:p>
    <w:p>
      <w:pPr>
        <w:spacing w:before="100" w:beforeAutospacing="1" w:after="100" w:afterAutospacing="1" w:line="360" w:lineRule="auto"/>
        <w:outlineLvl w:val="2"/>
        <w:rPr>
          <w:rFonts w:hint="eastAsia" w:ascii="楷体" w:hAnsi="楷体" w:eastAsia="楷体"/>
          <w:b/>
          <w:bCs/>
          <w:sz w:val="27"/>
          <w:szCs w:val="27"/>
        </w:rPr>
      </w:pPr>
      <w:r>
        <w:rPr>
          <w:rFonts w:hint="eastAsia" w:ascii="楷体" w:hAnsi="楷体" w:eastAsia="楷体" w:cs="MS Mincho"/>
          <w:b/>
          <w:bCs/>
          <w:sz w:val="27"/>
          <w:szCs w:val="27"/>
        </w:rPr>
        <w:t>一、使命共</w:t>
      </w:r>
      <w:r>
        <w:rPr>
          <w:rFonts w:ascii="楷体" w:hAnsi="楷体" w:eastAsia="楷体" w:cs="PingFang TC"/>
          <w:b/>
          <w:bCs/>
          <w:sz w:val="27"/>
          <w:szCs w:val="27"/>
        </w:rPr>
        <w:t>识</w:t>
      </w:r>
    </w:p>
    <w:p>
      <w:pPr>
        <w:numPr>
          <w:ilvl w:val="0"/>
          <w:numId w:val="1"/>
        </w:numPr>
        <w:spacing w:before="100" w:beforeAutospacing="1" w:after="100" w:afterAutospacing="1" w:line="360" w:lineRule="auto"/>
        <w:rPr>
          <w:rFonts w:hint="eastAsia" w:ascii="楷体" w:hAnsi="楷体" w:eastAsia="楷体"/>
        </w:rPr>
      </w:pPr>
      <w:r>
        <w:rPr>
          <w:rFonts w:hint="eastAsia" w:ascii="楷体" w:hAnsi="楷体" w:eastAsia="楷体" w:cs="MS Mincho"/>
        </w:rPr>
        <w:t>共同秉持</w:t>
      </w:r>
      <w:r>
        <w:rPr>
          <w:rFonts w:ascii="楷体" w:hAnsi="楷体" w:eastAsia="楷体"/>
        </w:rPr>
        <w:t>“</w:t>
      </w:r>
      <w:r>
        <w:rPr>
          <w:rFonts w:hint="eastAsia" w:ascii="楷体" w:hAnsi="楷体" w:eastAsia="楷体" w:cs="PingFang TC"/>
        </w:rPr>
        <w:t>资</w:t>
      </w:r>
      <w:r>
        <w:rPr>
          <w:rFonts w:hint="eastAsia" w:ascii="楷体" w:hAnsi="楷体" w:eastAsia="楷体" w:cs="MS Mincho"/>
        </w:rPr>
        <w:t>源共享、</w:t>
      </w:r>
      <w:r>
        <w:rPr>
          <w:rFonts w:hint="eastAsia" w:ascii="楷体" w:hAnsi="楷体" w:eastAsia="楷体" w:cs="PingFang TC"/>
        </w:rPr>
        <w:t>协</w:t>
      </w:r>
      <w:r>
        <w:rPr>
          <w:rFonts w:hint="eastAsia" w:ascii="楷体" w:hAnsi="楷体" w:eastAsia="楷体" w:cs="MS Mincho"/>
        </w:rPr>
        <w:t>同</w:t>
      </w:r>
      <w:r>
        <w:rPr>
          <w:rFonts w:hint="eastAsia" w:ascii="楷体" w:hAnsi="楷体" w:eastAsia="楷体" w:cs="PingFang TC"/>
        </w:rPr>
        <w:t>发</w:t>
      </w:r>
      <w:r>
        <w:rPr>
          <w:rFonts w:hint="eastAsia" w:ascii="楷体" w:hAnsi="楷体" w:eastAsia="楷体" w:cs="MS Mincho"/>
        </w:rPr>
        <w:t>展、互利共</w:t>
      </w:r>
      <w:r>
        <w:rPr>
          <w:rFonts w:hint="eastAsia" w:ascii="楷体" w:hAnsi="楷体" w:eastAsia="楷体" w:cs="PingFang TC"/>
        </w:rPr>
        <w:t>赢</w:t>
      </w:r>
      <w:r>
        <w:rPr>
          <w:rFonts w:ascii="楷体" w:hAnsi="楷体" w:eastAsia="楷体"/>
        </w:rPr>
        <w:t>”</w:t>
      </w:r>
      <w:r>
        <w:rPr>
          <w:rFonts w:hint="eastAsia" w:ascii="楷体" w:hAnsi="楷体" w:eastAsia="楷体" w:cs="MS Mincho"/>
        </w:rPr>
        <w:t>的基本理念</w:t>
      </w:r>
      <w:r>
        <w:rPr>
          <w:rFonts w:ascii="楷体" w:hAnsi="楷体" w:eastAsia="楷体" w:cs="MS Mincho"/>
        </w:rPr>
        <w:t>；</w:t>
      </w:r>
    </w:p>
    <w:p>
      <w:pPr>
        <w:numPr>
          <w:ilvl w:val="0"/>
          <w:numId w:val="1"/>
        </w:numPr>
        <w:spacing w:before="100" w:beforeAutospacing="1" w:after="100" w:afterAutospacing="1" w:line="360" w:lineRule="auto"/>
        <w:rPr>
          <w:rFonts w:hint="eastAsia" w:ascii="楷体" w:hAnsi="楷体" w:eastAsia="楷体"/>
        </w:rPr>
      </w:pPr>
      <w:r>
        <w:rPr>
          <w:rFonts w:hint="eastAsia" w:ascii="楷体" w:hAnsi="楷体" w:eastAsia="楷体" w:cs="PingFang TC"/>
        </w:rPr>
        <w:t>坚</w:t>
      </w:r>
      <w:r>
        <w:rPr>
          <w:rFonts w:hint="eastAsia" w:ascii="楷体" w:hAnsi="楷体" w:eastAsia="楷体" w:cs="MS Mincho"/>
        </w:rPr>
        <w:t>定支持国家</w:t>
      </w:r>
      <w:r>
        <w:rPr>
          <w:rFonts w:ascii="楷体" w:hAnsi="楷体" w:eastAsia="楷体"/>
        </w:rPr>
        <w:t>“</w:t>
      </w:r>
      <w:r>
        <w:rPr>
          <w:rFonts w:hint="eastAsia" w:ascii="楷体" w:hAnsi="楷体" w:eastAsia="楷体" w:cs="MS Mincho"/>
        </w:rPr>
        <w:t>一</w:t>
      </w:r>
      <w:r>
        <w:rPr>
          <w:rFonts w:hint="eastAsia" w:ascii="楷体" w:hAnsi="楷体" w:eastAsia="楷体" w:cs="PingFang TC"/>
        </w:rPr>
        <w:t>带</w:t>
      </w:r>
      <w:r>
        <w:rPr>
          <w:rFonts w:hint="eastAsia" w:ascii="楷体" w:hAnsi="楷体" w:eastAsia="楷体" w:cs="MS Mincho"/>
        </w:rPr>
        <w:t>一路</w:t>
      </w:r>
      <w:r>
        <w:rPr>
          <w:rFonts w:ascii="楷体" w:hAnsi="楷体" w:eastAsia="楷体"/>
        </w:rPr>
        <w:t>”</w:t>
      </w:r>
      <w:r>
        <w:rPr>
          <w:rFonts w:hint="eastAsia" w:ascii="楷体" w:hAnsi="楷体" w:eastAsia="楷体" w:cs="MS Mincho"/>
        </w:rPr>
        <w:t>倡</w:t>
      </w:r>
      <w:r>
        <w:rPr>
          <w:rFonts w:hint="eastAsia" w:ascii="楷体" w:hAnsi="楷体" w:eastAsia="楷体" w:cs="PingFang TC"/>
        </w:rPr>
        <w:t>议</w:t>
      </w:r>
      <w:r>
        <w:rPr>
          <w:rFonts w:hint="eastAsia" w:ascii="楷体" w:hAnsi="楷体" w:eastAsia="楷体" w:cs="MS Mincho"/>
        </w:rPr>
        <w:t>及企</w:t>
      </w:r>
      <w:r>
        <w:rPr>
          <w:rFonts w:hint="eastAsia" w:ascii="楷体" w:hAnsi="楷体" w:eastAsia="楷体" w:cs="PingFang TC"/>
        </w:rPr>
        <w:t>业</w:t>
      </w:r>
      <w:r>
        <w:rPr>
          <w:rFonts w:ascii="楷体" w:hAnsi="楷体" w:eastAsia="楷体"/>
        </w:rPr>
        <w:t>“</w:t>
      </w:r>
      <w:r>
        <w:rPr>
          <w:rFonts w:hint="eastAsia" w:ascii="楷体" w:hAnsi="楷体" w:eastAsia="楷体" w:cs="MS Mincho"/>
        </w:rPr>
        <w:t>走出去</w:t>
      </w:r>
      <w:r>
        <w:rPr>
          <w:rFonts w:ascii="楷体" w:hAnsi="楷体" w:eastAsia="楷体"/>
        </w:rPr>
        <w:t>”</w:t>
      </w:r>
      <w:r>
        <w:rPr>
          <w:rFonts w:hint="eastAsia" w:ascii="楷体" w:hAnsi="楷体" w:eastAsia="楷体"/>
        </w:rPr>
        <w:t>“引进来”</w:t>
      </w:r>
      <w:r>
        <w:rPr>
          <w:rFonts w:hint="eastAsia" w:ascii="楷体" w:hAnsi="楷体" w:eastAsia="楷体" w:cs="PingFang TC"/>
        </w:rPr>
        <w:t>战</w:t>
      </w:r>
      <w:r>
        <w:rPr>
          <w:rFonts w:hint="eastAsia" w:ascii="楷体" w:hAnsi="楷体" w:eastAsia="楷体" w:cs="MS Mincho"/>
        </w:rPr>
        <w:t>略部署</w:t>
      </w:r>
      <w:r>
        <w:rPr>
          <w:rFonts w:ascii="楷体" w:hAnsi="楷体" w:eastAsia="楷体" w:cs="MS Mincho"/>
        </w:rPr>
        <w:t>；</w:t>
      </w:r>
    </w:p>
    <w:p>
      <w:pPr>
        <w:numPr>
          <w:ilvl w:val="0"/>
          <w:numId w:val="1"/>
        </w:numPr>
        <w:spacing w:before="100" w:beforeAutospacing="1" w:after="100" w:afterAutospacing="1" w:line="360" w:lineRule="auto"/>
        <w:rPr>
          <w:rFonts w:hint="eastAsia" w:ascii="楷体" w:hAnsi="楷体" w:eastAsia="楷体"/>
        </w:rPr>
      </w:pPr>
      <w:r>
        <w:rPr>
          <w:rFonts w:hint="eastAsia" w:ascii="楷体" w:hAnsi="楷体" w:eastAsia="楷体" w:cs="MS Mincho"/>
        </w:rPr>
        <w:t>秉持国际多边主义，坚定支持全球合作，经济交往，文化交流，可持续发展；</w:t>
      </w:r>
    </w:p>
    <w:p>
      <w:pPr>
        <w:numPr>
          <w:ilvl w:val="0"/>
          <w:numId w:val="1"/>
        </w:numPr>
        <w:spacing w:before="100" w:beforeAutospacing="1" w:after="100" w:afterAutospacing="1" w:line="360" w:lineRule="auto"/>
        <w:rPr>
          <w:rFonts w:hint="eastAsia" w:ascii="楷体" w:hAnsi="楷体" w:eastAsia="楷体"/>
        </w:rPr>
      </w:pPr>
      <w:r>
        <w:rPr>
          <w:rFonts w:hint="eastAsia" w:ascii="楷体" w:hAnsi="楷体" w:eastAsia="楷体" w:cs="MS Mincho"/>
        </w:rPr>
        <w:t>致力于推</w:t>
      </w:r>
      <w:r>
        <w:rPr>
          <w:rFonts w:hint="eastAsia" w:ascii="楷体" w:hAnsi="楷体" w:eastAsia="楷体" w:cs="PingFang TC"/>
        </w:rPr>
        <w:t>动</w:t>
      </w:r>
      <w:r>
        <w:rPr>
          <w:rFonts w:hint="eastAsia" w:ascii="楷体" w:hAnsi="楷体" w:eastAsia="楷体" w:cs="MS Mincho"/>
        </w:rPr>
        <w:t>中国企</w:t>
      </w:r>
      <w:r>
        <w:rPr>
          <w:rFonts w:hint="eastAsia" w:ascii="楷体" w:hAnsi="楷体" w:eastAsia="楷体" w:cs="PingFang TC"/>
        </w:rPr>
        <w:t>业</w:t>
      </w:r>
      <w:r>
        <w:rPr>
          <w:rFonts w:hint="eastAsia" w:ascii="楷体" w:hAnsi="楷体" w:eastAsia="楷体" w:cs="MS Mincho"/>
        </w:rPr>
        <w:t>国</w:t>
      </w:r>
      <w:r>
        <w:rPr>
          <w:rFonts w:hint="eastAsia" w:ascii="楷体" w:hAnsi="楷体" w:eastAsia="楷体" w:cs="PingFang TC"/>
        </w:rPr>
        <w:t>际</w:t>
      </w:r>
      <w:r>
        <w:rPr>
          <w:rFonts w:hint="eastAsia" w:ascii="楷体" w:hAnsi="楷体" w:eastAsia="楷体" w:cs="MS Mincho"/>
        </w:rPr>
        <w:t>化</w:t>
      </w:r>
      <w:r>
        <w:rPr>
          <w:rFonts w:hint="eastAsia" w:ascii="楷体" w:hAnsi="楷体" w:eastAsia="楷体" w:cs="PingFang TC"/>
        </w:rPr>
        <w:t>发</w:t>
      </w:r>
      <w:r>
        <w:rPr>
          <w:rFonts w:hint="eastAsia" w:ascii="楷体" w:hAnsi="楷体" w:eastAsia="楷体" w:cs="MS Mincho"/>
        </w:rPr>
        <w:t>展，</w:t>
      </w:r>
      <w:r>
        <w:rPr>
          <w:rFonts w:hint="eastAsia" w:ascii="楷体" w:hAnsi="楷体" w:eastAsia="楷体" w:cs="PingFang TC"/>
        </w:rPr>
        <w:t>实现</w:t>
      </w:r>
      <w:r>
        <w:rPr>
          <w:rFonts w:hint="eastAsia" w:ascii="楷体" w:hAnsi="楷体" w:eastAsia="楷体" w:cs="MS Mincho"/>
        </w:rPr>
        <w:t>区域市</w:t>
      </w:r>
      <w:r>
        <w:rPr>
          <w:rFonts w:hint="eastAsia" w:ascii="楷体" w:hAnsi="楷体" w:eastAsia="楷体" w:cs="PingFang TC"/>
        </w:rPr>
        <w:t>场</w:t>
      </w:r>
      <w:r>
        <w:rPr>
          <w:rFonts w:hint="eastAsia" w:ascii="楷体" w:hAnsi="楷体" w:eastAsia="楷体" w:cs="MS Mincho"/>
        </w:rPr>
        <w:t>的深度融合</w:t>
      </w:r>
      <w:r>
        <w:rPr>
          <w:rFonts w:ascii="楷体" w:hAnsi="楷体" w:eastAsia="楷体" w:cs="MS Mincho"/>
        </w:rPr>
        <w:t>。</w:t>
      </w:r>
    </w:p>
    <w:p>
      <w:pPr>
        <w:spacing w:before="100" w:beforeAutospacing="1" w:after="100" w:afterAutospacing="1" w:line="360" w:lineRule="auto"/>
        <w:outlineLvl w:val="2"/>
        <w:rPr>
          <w:rFonts w:hint="eastAsia" w:ascii="楷体" w:hAnsi="楷体" w:eastAsia="楷体"/>
          <w:b/>
          <w:bCs/>
          <w:sz w:val="27"/>
          <w:szCs w:val="27"/>
        </w:rPr>
      </w:pPr>
      <w:r>
        <w:rPr>
          <w:rFonts w:hint="eastAsia" w:ascii="楷体" w:hAnsi="楷体" w:eastAsia="楷体" w:cs="MS Mincho"/>
          <w:b/>
          <w:bCs/>
          <w:sz w:val="27"/>
          <w:szCs w:val="27"/>
        </w:rPr>
        <w:t>二、行</w:t>
      </w:r>
      <w:r>
        <w:rPr>
          <w:rFonts w:hint="eastAsia" w:ascii="楷体" w:hAnsi="楷体" w:eastAsia="楷体" w:cs="PingFang TC"/>
          <w:b/>
          <w:bCs/>
          <w:sz w:val="27"/>
          <w:szCs w:val="27"/>
        </w:rPr>
        <w:t>为规</w:t>
      </w:r>
      <w:r>
        <w:rPr>
          <w:rFonts w:ascii="楷体" w:hAnsi="楷体" w:eastAsia="楷体" w:cs="MS Mincho"/>
          <w:b/>
          <w:bCs/>
          <w:sz w:val="27"/>
          <w:szCs w:val="27"/>
        </w:rPr>
        <w:t>范</w:t>
      </w:r>
    </w:p>
    <w:p>
      <w:pPr>
        <w:numPr>
          <w:ilvl w:val="0"/>
          <w:numId w:val="2"/>
        </w:numPr>
        <w:spacing w:before="100" w:beforeAutospacing="1" w:after="100" w:afterAutospacing="1" w:line="360" w:lineRule="auto"/>
        <w:rPr>
          <w:rFonts w:hint="eastAsia" w:ascii="楷体" w:hAnsi="楷体" w:eastAsia="楷体"/>
        </w:rPr>
      </w:pPr>
      <w:r>
        <w:rPr>
          <w:rFonts w:hint="eastAsia" w:ascii="楷体" w:hAnsi="楷体" w:eastAsia="楷体" w:cs="PingFang TC"/>
        </w:rPr>
        <w:t>严</w:t>
      </w:r>
      <w:r>
        <w:rPr>
          <w:rFonts w:hint="eastAsia" w:ascii="楷体" w:hAnsi="楷体" w:eastAsia="楷体" w:cs="MS Mincho"/>
        </w:rPr>
        <w:t>格遵守目</w:t>
      </w:r>
      <w:r>
        <w:rPr>
          <w:rFonts w:hint="eastAsia" w:ascii="楷体" w:hAnsi="楷体" w:eastAsia="楷体" w:cs="PingFang TC"/>
        </w:rPr>
        <w:t>标</w:t>
      </w:r>
      <w:r>
        <w:rPr>
          <w:rFonts w:hint="eastAsia" w:ascii="楷体" w:hAnsi="楷体" w:eastAsia="楷体" w:cs="MS Mincho"/>
        </w:rPr>
        <w:t>国法律法</w:t>
      </w:r>
      <w:r>
        <w:rPr>
          <w:rFonts w:hint="eastAsia" w:ascii="楷体" w:hAnsi="楷体" w:eastAsia="楷体" w:cs="PingFang TC"/>
        </w:rPr>
        <w:t>规</w:t>
      </w:r>
      <w:r>
        <w:rPr>
          <w:rFonts w:hint="eastAsia" w:ascii="楷体" w:hAnsi="楷体" w:eastAsia="楷体" w:cs="MS Mincho"/>
        </w:rPr>
        <w:t>，履行社会</w:t>
      </w:r>
      <w:r>
        <w:rPr>
          <w:rFonts w:hint="eastAsia" w:ascii="楷体" w:hAnsi="楷体" w:eastAsia="楷体" w:cs="PingFang TC"/>
        </w:rPr>
        <w:t>责</w:t>
      </w:r>
      <w:r>
        <w:rPr>
          <w:rFonts w:hint="eastAsia" w:ascii="楷体" w:hAnsi="楷体" w:eastAsia="楷体" w:cs="MS Mincho"/>
        </w:rPr>
        <w:t>任，尊重当地文化与商</w:t>
      </w:r>
      <w:r>
        <w:rPr>
          <w:rFonts w:hint="eastAsia" w:ascii="楷体" w:hAnsi="楷体" w:eastAsia="楷体" w:cs="PingFang TC"/>
        </w:rPr>
        <w:t>业伦</w:t>
      </w:r>
      <w:r>
        <w:rPr>
          <w:rFonts w:hint="eastAsia" w:ascii="楷体" w:hAnsi="楷体" w:eastAsia="楷体" w:cs="MS Mincho"/>
        </w:rPr>
        <w:t>理</w:t>
      </w:r>
      <w:r>
        <w:rPr>
          <w:rFonts w:ascii="楷体" w:hAnsi="楷体" w:eastAsia="楷体" w:cs="MS Mincho"/>
        </w:rPr>
        <w:t>；</w:t>
      </w:r>
    </w:p>
    <w:p>
      <w:pPr>
        <w:numPr>
          <w:ilvl w:val="0"/>
          <w:numId w:val="2"/>
        </w:numPr>
        <w:spacing w:before="100" w:beforeAutospacing="1" w:after="100" w:afterAutospacing="1" w:line="360" w:lineRule="auto"/>
        <w:rPr>
          <w:rFonts w:hint="eastAsia" w:ascii="楷体" w:hAnsi="楷体" w:eastAsia="楷体"/>
        </w:rPr>
      </w:pPr>
      <w:r>
        <w:rPr>
          <w:rFonts w:hint="eastAsia" w:ascii="楷体" w:hAnsi="楷体" w:eastAsia="楷体" w:cs="MS Mincho"/>
        </w:rPr>
        <w:t>不得以</w:t>
      </w:r>
      <w:r>
        <w:rPr>
          <w:rFonts w:hint="eastAsia" w:ascii="楷体" w:hAnsi="楷体" w:eastAsia="楷体" w:cs="PingFang TC"/>
        </w:rPr>
        <w:t>中国北方（泰达）一站式出海服务基地进</w:t>
      </w:r>
      <w:r>
        <w:rPr>
          <w:rFonts w:hint="eastAsia" w:ascii="楷体" w:hAnsi="楷体" w:eastAsia="楷体" w:cs="MS Mincho"/>
        </w:rPr>
        <w:t>行任何形式虚假宣</w:t>
      </w:r>
      <w:r>
        <w:rPr>
          <w:rFonts w:hint="eastAsia" w:ascii="楷体" w:hAnsi="楷体" w:eastAsia="楷体" w:cs="PingFang TC"/>
        </w:rPr>
        <w:t>传</w:t>
      </w:r>
      <w:r>
        <w:rPr>
          <w:rFonts w:hint="eastAsia" w:ascii="楷体" w:hAnsi="楷体" w:eastAsia="楷体" w:cs="MS Mincho"/>
        </w:rPr>
        <w:t>、</w:t>
      </w:r>
      <w:r>
        <w:rPr>
          <w:rFonts w:hint="eastAsia" w:ascii="楷体" w:hAnsi="楷体" w:eastAsia="楷体" w:cs="PingFang TC"/>
        </w:rPr>
        <w:t>违规</w:t>
      </w:r>
      <w:r>
        <w:rPr>
          <w:rFonts w:hint="eastAsia" w:ascii="楷体" w:hAnsi="楷体" w:eastAsia="楷体" w:cs="MS Mincho"/>
        </w:rPr>
        <w:t>集</w:t>
      </w:r>
      <w:r>
        <w:rPr>
          <w:rFonts w:hint="eastAsia" w:ascii="楷体" w:hAnsi="楷体" w:eastAsia="楷体" w:cs="PingFang TC"/>
        </w:rPr>
        <w:t>资</w:t>
      </w:r>
      <w:r>
        <w:rPr>
          <w:rFonts w:hint="eastAsia" w:ascii="楷体" w:hAnsi="楷体" w:eastAsia="楷体" w:cs="MS Mincho"/>
        </w:rPr>
        <w:t>、</w:t>
      </w:r>
      <w:r>
        <w:rPr>
          <w:rFonts w:hint="eastAsia" w:ascii="楷体" w:hAnsi="楷体" w:eastAsia="楷体" w:cs="PingFang TC"/>
        </w:rPr>
        <w:t>项</w:t>
      </w:r>
      <w:r>
        <w:rPr>
          <w:rFonts w:hint="eastAsia" w:ascii="楷体" w:hAnsi="楷体" w:eastAsia="楷体" w:cs="MS Mincho"/>
        </w:rPr>
        <w:t>目包装等行</w:t>
      </w:r>
      <w:r>
        <w:rPr>
          <w:rFonts w:hint="eastAsia" w:ascii="楷体" w:hAnsi="楷体" w:eastAsia="楷体" w:cs="PingFang TC"/>
        </w:rPr>
        <w:t>为</w:t>
      </w:r>
      <w:r>
        <w:rPr>
          <w:rFonts w:ascii="楷体" w:hAnsi="楷体" w:eastAsia="楷体" w:cs="MS Mincho"/>
        </w:rPr>
        <w:t>；</w:t>
      </w:r>
    </w:p>
    <w:p>
      <w:pPr>
        <w:numPr>
          <w:ilvl w:val="0"/>
          <w:numId w:val="2"/>
        </w:numPr>
        <w:spacing w:before="100" w:beforeAutospacing="1" w:after="100" w:afterAutospacing="1" w:line="360" w:lineRule="auto"/>
        <w:rPr>
          <w:rFonts w:hint="eastAsia" w:ascii="楷体" w:hAnsi="楷体" w:eastAsia="楷体"/>
        </w:rPr>
      </w:pPr>
      <w:r>
        <w:rPr>
          <w:rFonts w:hint="eastAsia" w:ascii="楷体" w:hAnsi="楷体" w:eastAsia="楷体" w:cs="MS Mincho"/>
        </w:rPr>
        <w:t>承</w:t>
      </w:r>
      <w:r>
        <w:rPr>
          <w:rFonts w:hint="eastAsia" w:ascii="楷体" w:hAnsi="楷体" w:eastAsia="楷体" w:cs="PingFang TC"/>
        </w:rPr>
        <w:t>诺</w:t>
      </w:r>
      <w:r>
        <w:rPr>
          <w:rFonts w:hint="eastAsia" w:ascii="楷体" w:hAnsi="楷体" w:eastAsia="楷体" w:cs="MS Mincho"/>
        </w:rPr>
        <w:t>在平台及</w:t>
      </w:r>
      <w:r>
        <w:rPr>
          <w:rFonts w:hint="eastAsia" w:ascii="楷体" w:hAnsi="楷体" w:eastAsia="楷体" w:cs="PingFang TC"/>
        </w:rPr>
        <w:t>对</w:t>
      </w:r>
      <w:r>
        <w:rPr>
          <w:rFonts w:hint="eastAsia" w:ascii="楷体" w:hAnsi="楷体" w:eastAsia="楷体" w:cs="MS Mincho"/>
        </w:rPr>
        <w:t>接活</w:t>
      </w:r>
      <w:r>
        <w:rPr>
          <w:rFonts w:hint="eastAsia" w:ascii="楷体" w:hAnsi="楷体" w:eastAsia="楷体" w:cs="PingFang TC"/>
        </w:rPr>
        <w:t>动</w:t>
      </w:r>
      <w:r>
        <w:rPr>
          <w:rFonts w:hint="eastAsia" w:ascii="楷体" w:hAnsi="楷体" w:eastAsia="楷体" w:cs="MS Mincho"/>
        </w:rPr>
        <w:t>中</w:t>
      </w:r>
      <w:r>
        <w:rPr>
          <w:rFonts w:hint="eastAsia" w:ascii="楷体" w:hAnsi="楷体" w:eastAsia="楷体" w:cs="PingFang TC"/>
        </w:rPr>
        <w:t>发</w:t>
      </w:r>
      <w:r>
        <w:rPr>
          <w:rFonts w:hint="eastAsia" w:ascii="楷体" w:hAnsi="楷体" w:eastAsia="楷体" w:cs="MS Mincho"/>
        </w:rPr>
        <w:t>布真</w:t>
      </w:r>
      <w:r>
        <w:rPr>
          <w:rFonts w:hint="eastAsia" w:ascii="楷体" w:hAnsi="楷体" w:eastAsia="楷体" w:cs="PingFang TC"/>
        </w:rPr>
        <w:t>实</w:t>
      </w:r>
      <w:r>
        <w:rPr>
          <w:rFonts w:hint="eastAsia" w:ascii="楷体" w:hAnsi="楷体" w:eastAsia="楷体" w:cs="MS Mincho"/>
        </w:rPr>
        <w:t>信息，</w:t>
      </w:r>
      <w:r>
        <w:rPr>
          <w:rFonts w:hint="eastAsia" w:ascii="楷体" w:hAnsi="楷体" w:eastAsia="楷体" w:cs="PingFang TC"/>
        </w:rPr>
        <w:t>维护</w:t>
      </w:r>
      <w:r>
        <w:rPr>
          <w:rFonts w:hint="eastAsia" w:ascii="楷体" w:hAnsi="楷体" w:eastAsia="楷体" w:cs="MS Mincho"/>
        </w:rPr>
        <w:t>平台良好生</w:t>
      </w:r>
      <w:r>
        <w:rPr>
          <w:rFonts w:hint="eastAsia" w:ascii="楷体" w:hAnsi="楷体" w:eastAsia="楷体" w:cs="PingFang TC"/>
        </w:rPr>
        <w:t>态</w:t>
      </w:r>
      <w:r>
        <w:rPr>
          <w:rFonts w:ascii="楷体" w:hAnsi="楷体" w:eastAsia="楷体" w:cs="MS Mincho"/>
        </w:rPr>
        <w:t>；</w:t>
      </w:r>
    </w:p>
    <w:p>
      <w:pPr>
        <w:numPr>
          <w:ilvl w:val="0"/>
          <w:numId w:val="2"/>
        </w:numPr>
        <w:spacing w:before="100" w:beforeAutospacing="1" w:after="100" w:afterAutospacing="1" w:line="360" w:lineRule="auto"/>
        <w:rPr>
          <w:rFonts w:hint="eastAsia" w:ascii="楷体" w:hAnsi="楷体" w:eastAsia="楷体"/>
        </w:rPr>
      </w:pPr>
      <w:r>
        <w:rPr>
          <w:rFonts w:hint="eastAsia" w:ascii="楷体" w:hAnsi="楷体" w:eastAsia="楷体" w:cs="MS Mincho"/>
        </w:rPr>
        <w:t>不得泄露平台或他方未公开的重要信息、商</w:t>
      </w:r>
      <w:r>
        <w:rPr>
          <w:rFonts w:hint="eastAsia" w:ascii="楷体" w:hAnsi="楷体" w:eastAsia="楷体" w:cs="PingFang TC"/>
        </w:rPr>
        <w:t>业</w:t>
      </w:r>
      <w:r>
        <w:rPr>
          <w:rFonts w:hint="eastAsia" w:ascii="楷体" w:hAnsi="楷体" w:eastAsia="楷体" w:cs="MS Mincho"/>
        </w:rPr>
        <w:t>数据或合作内容</w:t>
      </w:r>
      <w:r>
        <w:rPr>
          <w:rFonts w:ascii="楷体" w:hAnsi="楷体" w:eastAsia="楷体" w:cs="MS Mincho"/>
        </w:rPr>
        <w:t>。</w:t>
      </w:r>
    </w:p>
    <w:p>
      <w:pPr>
        <w:spacing w:before="100" w:beforeAutospacing="1" w:after="100" w:afterAutospacing="1" w:line="360" w:lineRule="auto"/>
        <w:outlineLvl w:val="2"/>
        <w:rPr>
          <w:rFonts w:hint="eastAsia" w:ascii="楷体" w:hAnsi="楷体" w:eastAsia="楷体"/>
          <w:b/>
          <w:bCs/>
          <w:sz w:val="27"/>
          <w:szCs w:val="27"/>
        </w:rPr>
      </w:pPr>
      <w:r>
        <w:rPr>
          <w:rFonts w:hint="eastAsia" w:ascii="楷体" w:hAnsi="楷体" w:eastAsia="楷体" w:cs="MS Mincho"/>
          <w:b/>
          <w:bCs/>
          <w:sz w:val="27"/>
          <w:szCs w:val="27"/>
        </w:rPr>
        <w:t>三、</w:t>
      </w:r>
      <w:r>
        <w:rPr>
          <w:rFonts w:hint="eastAsia" w:ascii="楷体" w:hAnsi="楷体" w:eastAsia="楷体" w:cs="PingFang TC"/>
          <w:b/>
          <w:bCs/>
          <w:sz w:val="27"/>
          <w:szCs w:val="27"/>
        </w:rPr>
        <w:t>协</w:t>
      </w:r>
      <w:r>
        <w:rPr>
          <w:rFonts w:hint="eastAsia" w:ascii="楷体" w:hAnsi="楷体" w:eastAsia="楷体" w:cs="MS Mincho"/>
          <w:b/>
          <w:bCs/>
          <w:sz w:val="27"/>
          <w:szCs w:val="27"/>
        </w:rPr>
        <w:t>作机</w:t>
      </w:r>
      <w:r>
        <w:rPr>
          <w:rFonts w:ascii="楷体" w:hAnsi="楷体" w:eastAsia="楷体" w:cs="MS Mincho"/>
          <w:b/>
          <w:bCs/>
          <w:sz w:val="27"/>
          <w:szCs w:val="27"/>
        </w:rPr>
        <w:t>制</w:t>
      </w:r>
    </w:p>
    <w:p>
      <w:pPr>
        <w:numPr>
          <w:ilvl w:val="0"/>
          <w:numId w:val="3"/>
        </w:numPr>
        <w:spacing w:before="100" w:beforeAutospacing="1" w:after="100" w:afterAutospacing="1" w:line="360" w:lineRule="auto"/>
        <w:rPr>
          <w:rFonts w:hint="eastAsia" w:ascii="楷体" w:hAnsi="楷体" w:eastAsia="楷体"/>
        </w:rPr>
      </w:pPr>
      <w:r>
        <w:rPr>
          <w:rFonts w:hint="eastAsia" w:ascii="楷体" w:hAnsi="楷体" w:eastAsia="楷体" w:cs="MS Mincho"/>
        </w:rPr>
        <w:t>鼓励成</w:t>
      </w:r>
      <w:r>
        <w:rPr>
          <w:rFonts w:hint="eastAsia" w:ascii="楷体" w:hAnsi="楷体" w:eastAsia="楷体" w:cs="PingFang TC"/>
        </w:rPr>
        <w:t>员</w:t>
      </w:r>
      <w:r>
        <w:rPr>
          <w:rFonts w:hint="eastAsia" w:ascii="楷体" w:hAnsi="楷体" w:eastAsia="楷体" w:cs="MS Mincho"/>
        </w:rPr>
        <w:t>之</w:t>
      </w:r>
      <w:r>
        <w:rPr>
          <w:rFonts w:hint="eastAsia" w:ascii="楷体" w:hAnsi="楷体" w:eastAsia="楷体" w:cs="PingFang TC"/>
        </w:rPr>
        <w:t>间</w:t>
      </w:r>
      <w:r>
        <w:rPr>
          <w:rFonts w:hint="eastAsia" w:ascii="楷体" w:hAnsi="楷体" w:eastAsia="楷体" w:cs="MS Mincho"/>
        </w:rPr>
        <w:t>开展</w:t>
      </w:r>
      <w:r>
        <w:rPr>
          <w:rFonts w:hint="eastAsia" w:ascii="楷体" w:hAnsi="楷体" w:eastAsia="楷体" w:cs="PingFang TC"/>
        </w:rPr>
        <w:t>实质</w:t>
      </w:r>
      <w:r>
        <w:rPr>
          <w:rFonts w:hint="eastAsia" w:ascii="楷体" w:hAnsi="楷体" w:eastAsia="楷体" w:cs="MS Mincho"/>
        </w:rPr>
        <w:t>性</w:t>
      </w:r>
      <w:r>
        <w:rPr>
          <w:rFonts w:hint="eastAsia" w:ascii="楷体" w:hAnsi="楷体" w:eastAsia="楷体" w:cs="PingFang TC"/>
        </w:rPr>
        <w:t>资</w:t>
      </w:r>
      <w:r>
        <w:rPr>
          <w:rFonts w:hint="eastAsia" w:ascii="楷体" w:hAnsi="楷体" w:eastAsia="楷体" w:cs="MS Mincho"/>
        </w:rPr>
        <w:t>源合作，包括但不限于</w:t>
      </w:r>
      <w:r>
        <w:rPr>
          <w:rFonts w:hint="eastAsia" w:ascii="楷体" w:hAnsi="楷体" w:eastAsia="楷体" w:cs="PingFang TC"/>
        </w:rPr>
        <w:t>联</w:t>
      </w:r>
      <w:r>
        <w:rPr>
          <w:rFonts w:hint="eastAsia" w:ascii="楷体" w:hAnsi="楷体" w:eastAsia="楷体" w:cs="MS Mincho"/>
        </w:rPr>
        <w:t>合投</w:t>
      </w:r>
      <w:r>
        <w:rPr>
          <w:rFonts w:hint="eastAsia" w:ascii="楷体" w:hAnsi="楷体" w:eastAsia="楷体" w:cs="PingFang TC"/>
        </w:rPr>
        <w:t>标</w:t>
      </w:r>
      <w:r>
        <w:rPr>
          <w:rFonts w:hint="eastAsia" w:ascii="楷体" w:hAnsi="楷体" w:eastAsia="楷体" w:cs="MS Mincho"/>
        </w:rPr>
        <w:t>、跨境技</w:t>
      </w:r>
      <w:r>
        <w:rPr>
          <w:rFonts w:hint="eastAsia" w:ascii="楷体" w:hAnsi="楷体" w:eastAsia="楷体" w:cs="PingFang TC"/>
        </w:rPr>
        <w:t>术</w:t>
      </w:r>
      <w:r>
        <w:rPr>
          <w:rFonts w:hint="eastAsia" w:ascii="楷体" w:hAnsi="楷体" w:eastAsia="楷体" w:cs="MS Mincho"/>
        </w:rPr>
        <w:t>服</w:t>
      </w:r>
      <w:r>
        <w:rPr>
          <w:rFonts w:hint="eastAsia" w:ascii="楷体" w:hAnsi="楷体" w:eastAsia="楷体" w:cs="PingFang TC"/>
        </w:rPr>
        <w:t>务</w:t>
      </w:r>
      <w:r>
        <w:rPr>
          <w:rFonts w:hint="eastAsia" w:ascii="楷体" w:hAnsi="楷体" w:eastAsia="楷体" w:cs="MS Mincho"/>
        </w:rPr>
        <w:t>、人才派遣、渠道共建等</w:t>
      </w:r>
      <w:r>
        <w:rPr>
          <w:rFonts w:ascii="楷体" w:hAnsi="楷体" w:eastAsia="楷体" w:cs="MS Mincho"/>
        </w:rPr>
        <w:t>；</w:t>
      </w:r>
    </w:p>
    <w:p>
      <w:pPr>
        <w:numPr>
          <w:ilvl w:val="0"/>
          <w:numId w:val="3"/>
        </w:numPr>
        <w:spacing w:before="100" w:beforeAutospacing="1" w:after="100" w:afterAutospacing="1" w:line="360" w:lineRule="auto"/>
        <w:rPr>
          <w:rFonts w:hint="eastAsia" w:ascii="楷体" w:hAnsi="楷体" w:eastAsia="楷体"/>
        </w:rPr>
      </w:pPr>
      <w:r>
        <w:rPr>
          <w:rFonts w:hint="eastAsia" w:ascii="楷体" w:hAnsi="楷体" w:eastAsia="楷体" w:cs="MS Mincho"/>
        </w:rPr>
        <w:t>主</w:t>
      </w:r>
      <w:r>
        <w:rPr>
          <w:rFonts w:hint="eastAsia" w:ascii="楷体" w:hAnsi="楷体" w:eastAsia="楷体" w:cs="PingFang TC"/>
        </w:rPr>
        <w:t>动</w:t>
      </w:r>
      <w:r>
        <w:rPr>
          <w:rFonts w:hint="eastAsia" w:ascii="楷体" w:hAnsi="楷体" w:eastAsia="楷体" w:cs="MS Mincho"/>
        </w:rPr>
        <w:t>分享典型案例、合</w:t>
      </w:r>
      <w:r>
        <w:rPr>
          <w:rFonts w:hint="eastAsia" w:ascii="楷体" w:hAnsi="楷体" w:eastAsia="楷体" w:cs="PingFang TC"/>
        </w:rPr>
        <w:t>规经验</w:t>
      </w:r>
      <w:r>
        <w:rPr>
          <w:rFonts w:hint="eastAsia" w:ascii="楷体" w:hAnsi="楷体" w:eastAsia="楷体" w:cs="MS Mincho"/>
        </w:rPr>
        <w:t>与</w:t>
      </w:r>
      <w:r>
        <w:rPr>
          <w:rFonts w:hint="eastAsia" w:ascii="楷体" w:hAnsi="楷体" w:eastAsia="楷体" w:cs="PingFang TC"/>
        </w:rPr>
        <w:t>风险预</w:t>
      </w:r>
      <w:r>
        <w:rPr>
          <w:rFonts w:hint="eastAsia" w:ascii="楷体" w:hAnsi="楷体" w:eastAsia="楷体" w:cs="MS Mincho"/>
        </w:rPr>
        <w:t>警，推</w:t>
      </w:r>
      <w:r>
        <w:rPr>
          <w:rFonts w:hint="eastAsia" w:ascii="楷体" w:hAnsi="楷体" w:eastAsia="楷体" w:cs="PingFang TC"/>
        </w:rPr>
        <w:t>动</w:t>
      </w:r>
      <w:r>
        <w:rPr>
          <w:rFonts w:hint="eastAsia" w:ascii="楷体" w:hAnsi="楷体" w:eastAsia="楷体" w:cs="MS Mincho"/>
        </w:rPr>
        <w:t>形成学</w:t>
      </w:r>
      <w:r>
        <w:rPr>
          <w:rFonts w:hint="eastAsia" w:ascii="楷体" w:hAnsi="楷体" w:eastAsia="楷体" w:cs="PingFang TC"/>
        </w:rPr>
        <w:t>习</w:t>
      </w:r>
      <w:r>
        <w:rPr>
          <w:rFonts w:hint="eastAsia" w:ascii="楷体" w:hAnsi="楷体" w:eastAsia="楷体" w:cs="MS Mincho"/>
        </w:rPr>
        <w:t>型生</w:t>
      </w:r>
      <w:r>
        <w:rPr>
          <w:rFonts w:hint="eastAsia" w:ascii="楷体" w:hAnsi="楷体" w:eastAsia="楷体" w:cs="PingFang TC"/>
        </w:rPr>
        <w:t>态</w:t>
      </w:r>
      <w:r>
        <w:rPr>
          <w:rFonts w:hint="eastAsia" w:ascii="楷体" w:hAnsi="楷体" w:eastAsia="楷体" w:cs="MS Mincho"/>
        </w:rPr>
        <w:t>圈</w:t>
      </w:r>
      <w:r>
        <w:rPr>
          <w:rFonts w:ascii="楷体" w:hAnsi="楷体" w:eastAsia="楷体" w:cs="MS Mincho"/>
        </w:rPr>
        <w:t>；</w:t>
      </w:r>
    </w:p>
    <w:p>
      <w:pPr>
        <w:numPr>
          <w:ilvl w:val="0"/>
          <w:numId w:val="3"/>
        </w:numPr>
        <w:spacing w:before="100" w:beforeAutospacing="1" w:after="100" w:afterAutospacing="1" w:line="360" w:lineRule="auto"/>
        <w:rPr>
          <w:rFonts w:hint="eastAsia" w:ascii="楷体" w:hAnsi="楷体" w:eastAsia="楷体"/>
        </w:rPr>
      </w:pPr>
      <w:r>
        <w:rPr>
          <w:rFonts w:hint="eastAsia" w:ascii="楷体" w:hAnsi="楷体" w:eastAsia="楷体" w:cs="PingFang TC"/>
        </w:rPr>
        <w:t>积</w:t>
      </w:r>
      <w:r>
        <w:rPr>
          <w:rFonts w:hint="eastAsia" w:ascii="楷体" w:hAnsi="楷体" w:eastAsia="楷体" w:cs="MS Mincho"/>
        </w:rPr>
        <w:t>极参加</w:t>
      </w:r>
      <w:r>
        <w:rPr>
          <w:rFonts w:hint="eastAsia" w:ascii="楷体" w:hAnsi="楷体" w:eastAsia="楷体" w:cs="PingFang TC"/>
        </w:rPr>
        <w:t>联</w:t>
      </w:r>
      <w:r>
        <w:rPr>
          <w:rFonts w:hint="eastAsia" w:ascii="楷体" w:hAnsi="楷体" w:eastAsia="楷体" w:cs="MS Mincho"/>
        </w:rPr>
        <w:t>盟</w:t>
      </w:r>
      <w:r>
        <w:rPr>
          <w:rFonts w:hint="eastAsia" w:ascii="楷体" w:hAnsi="楷体" w:eastAsia="楷体" w:cs="PingFang TC"/>
        </w:rPr>
        <w:t>组织</w:t>
      </w:r>
      <w:r>
        <w:rPr>
          <w:rFonts w:hint="eastAsia" w:ascii="楷体" w:hAnsi="楷体" w:eastAsia="楷体" w:cs="MS Mincho"/>
        </w:rPr>
        <w:t>的</w:t>
      </w:r>
      <w:r>
        <w:rPr>
          <w:rFonts w:hint="eastAsia" w:ascii="楷体" w:hAnsi="楷体" w:eastAsia="楷体" w:cs="PingFang TC"/>
        </w:rPr>
        <w:t>线</w:t>
      </w:r>
      <w:r>
        <w:rPr>
          <w:rFonts w:hint="eastAsia" w:ascii="楷体" w:hAnsi="楷体" w:eastAsia="楷体" w:cs="MS Mincho"/>
        </w:rPr>
        <w:t>上</w:t>
      </w:r>
      <w:r>
        <w:rPr>
          <w:rFonts w:hint="eastAsia" w:ascii="楷体" w:hAnsi="楷体" w:eastAsia="楷体" w:cs="PingFang TC"/>
        </w:rPr>
        <w:t>线</w:t>
      </w:r>
      <w:r>
        <w:rPr>
          <w:rFonts w:hint="eastAsia" w:ascii="楷体" w:hAnsi="楷体" w:eastAsia="楷体" w:cs="MS Mincho"/>
        </w:rPr>
        <w:t>下活</w:t>
      </w:r>
      <w:r>
        <w:rPr>
          <w:rFonts w:hint="eastAsia" w:ascii="楷体" w:hAnsi="楷体" w:eastAsia="楷体" w:cs="PingFang TC"/>
        </w:rPr>
        <w:t>动</w:t>
      </w:r>
      <w:r>
        <w:rPr>
          <w:rFonts w:hint="eastAsia" w:ascii="楷体" w:hAnsi="楷体" w:eastAsia="楷体" w:cs="MS Mincho"/>
        </w:rPr>
        <w:t>，提升集体能</w:t>
      </w:r>
      <w:r>
        <w:rPr>
          <w:rFonts w:hint="eastAsia" w:ascii="楷体" w:hAnsi="楷体" w:eastAsia="楷体" w:cs="PingFang TC"/>
        </w:rPr>
        <w:t>见</w:t>
      </w:r>
      <w:r>
        <w:rPr>
          <w:rFonts w:hint="eastAsia" w:ascii="楷体" w:hAnsi="楷体" w:eastAsia="楷体" w:cs="MS Mincho"/>
        </w:rPr>
        <w:t>度与区域影响力</w:t>
      </w:r>
      <w:r>
        <w:rPr>
          <w:rFonts w:ascii="楷体" w:hAnsi="楷体" w:eastAsia="楷体" w:cs="MS Mincho"/>
        </w:rPr>
        <w:t>；</w:t>
      </w:r>
    </w:p>
    <w:p>
      <w:pPr>
        <w:numPr>
          <w:ilvl w:val="0"/>
          <w:numId w:val="3"/>
        </w:numPr>
        <w:spacing w:before="100" w:beforeAutospacing="1" w:after="100" w:afterAutospacing="1" w:line="360" w:lineRule="auto"/>
        <w:rPr>
          <w:rFonts w:hint="eastAsia" w:ascii="楷体" w:hAnsi="楷体" w:eastAsia="楷体"/>
        </w:rPr>
      </w:pPr>
      <w:r>
        <w:rPr>
          <w:rFonts w:hint="eastAsia" w:ascii="楷体" w:hAnsi="楷体" w:eastAsia="楷体" w:cs="MS Mincho"/>
        </w:rPr>
        <w:t>支持平台</w:t>
      </w:r>
      <w:r>
        <w:rPr>
          <w:rFonts w:hint="eastAsia" w:ascii="楷体" w:hAnsi="楷体" w:eastAsia="楷体" w:cs="PingFang TC"/>
        </w:rPr>
        <w:t>创</w:t>
      </w:r>
      <w:r>
        <w:rPr>
          <w:rFonts w:hint="eastAsia" w:ascii="楷体" w:hAnsi="楷体" w:eastAsia="楷体" w:cs="MS Mincho"/>
        </w:rPr>
        <w:t>新与机制</w:t>
      </w:r>
      <w:r>
        <w:rPr>
          <w:rFonts w:hint="eastAsia" w:ascii="楷体" w:hAnsi="楷体" w:eastAsia="楷体" w:cs="PingFang TC"/>
        </w:rPr>
        <w:t>试</w:t>
      </w:r>
      <w:r>
        <w:rPr>
          <w:rFonts w:hint="eastAsia" w:ascii="楷体" w:hAnsi="楷体" w:eastAsia="楷体" w:cs="MS Mincho"/>
        </w:rPr>
        <w:t>点，参与合伙人治理</w:t>
      </w:r>
      <w:r>
        <w:rPr>
          <w:rFonts w:hint="eastAsia" w:ascii="楷体" w:hAnsi="楷体" w:eastAsia="楷体" w:cs="PingFang TC"/>
        </w:rPr>
        <w:t>结</w:t>
      </w:r>
      <w:r>
        <w:rPr>
          <w:rFonts w:hint="eastAsia" w:ascii="楷体" w:hAnsi="楷体" w:eastAsia="楷体" w:cs="MS Mincho"/>
        </w:rPr>
        <w:t>构建</w:t>
      </w:r>
      <w:r>
        <w:rPr>
          <w:rFonts w:hint="eastAsia" w:ascii="楷体" w:hAnsi="楷体" w:eastAsia="楷体" w:cs="PingFang TC"/>
        </w:rPr>
        <w:t>设</w:t>
      </w:r>
      <w:r>
        <w:rPr>
          <w:rFonts w:hint="eastAsia" w:ascii="楷体" w:hAnsi="楷体" w:eastAsia="楷体" w:cs="MS Mincho"/>
        </w:rPr>
        <w:t>与完善</w:t>
      </w:r>
      <w:r>
        <w:rPr>
          <w:rFonts w:ascii="楷体" w:hAnsi="楷体" w:eastAsia="楷体" w:cs="MS Mincho"/>
        </w:rPr>
        <w:t>。</w:t>
      </w:r>
    </w:p>
    <w:p>
      <w:pPr>
        <w:spacing w:before="100" w:beforeAutospacing="1" w:after="100" w:afterAutospacing="1" w:line="360" w:lineRule="auto"/>
        <w:outlineLvl w:val="2"/>
        <w:rPr>
          <w:rFonts w:hint="eastAsia" w:ascii="楷体" w:hAnsi="楷体" w:eastAsia="楷体"/>
          <w:b/>
          <w:bCs/>
          <w:sz w:val="27"/>
          <w:szCs w:val="27"/>
        </w:rPr>
      </w:pPr>
      <w:r>
        <w:rPr>
          <w:rFonts w:hint="eastAsia" w:ascii="楷体" w:hAnsi="楷体" w:eastAsia="楷体" w:cs="MS Mincho"/>
          <w:b/>
          <w:bCs/>
          <w:sz w:val="27"/>
          <w:szCs w:val="27"/>
        </w:rPr>
        <w:t>四、退出与清退机</w:t>
      </w:r>
      <w:r>
        <w:rPr>
          <w:rFonts w:ascii="楷体" w:hAnsi="楷体" w:eastAsia="楷体" w:cs="MS Mincho"/>
          <w:b/>
          <w:bCs/>
          <w:sz w:val="27"/>
          <w:szCs w:val="27"/>
        </w:rPr>
        <w:t>制</w:t>
      </w:r>
    </w:p>
    <w:p>
      <w:pPr>
        <w:numPr>
          <w:ilvl w:val="0"/>
          <w:numId w:val="4"/>
        </w:numPr>
        <w:spacing w:before="100" w:beforeAutospacing="1" w:after="100" w:afterAutospacing="1" w:line="360" w:lineRule="auto"/>
        <w:rPr>
          <w:rFonts w:hint="eastAsia" w:ascii="楷体" w:hAnsi="楷体" w:eastAsia="楷体"/>
        </w:rPr>
      </w:pPr>
      <w:r>
        <w:rPr>
          <w:rFonts w:hint="eastAsia" w:ascii="楷体" w:hAnsi="楷体" w:eastAsia="楷体" w:cs="MS Mincho"/>
        </w:rPr>
        <w:t>合伙人</w:t>
      </w:r>
      <w:r>
        <w:rPr>
          <w:rFonts w:hint="eastAsia" w:ascii="楷体" w:hAnsi="楷体" w:eastAsia="楷体" w:cs="PingFang TC"/>
        </w:rPr>
        <w:t>单</w:t>
      </w:r>
      <w:r>
        <w:rPr>
          <w:rFonts w:hint="eastAsia" w:ascii="楷体" w:hAnsi="楷体" w:eastAsia="楷体" w:cs="MS Mincho"/>
        </w:rPr>
        <w:t>位可自主提出退出申</w:t>
      </w:r>
      <w:r>
        <w:rPr>
          <w:rFonts w:hint="eastAsia" w:ascii="楷体" w:hAnsi="楷体" w:eastAsia="楷体" w:cs="PingFang TC"/>
        </w:rPr>
        <w:t>请</w:t>
      </w:r>
      <w:r>
        <w:rPr>
          <w:rFonts w:hint="eastAsia" w:ascii="楷体" w:hAnsi="楷体" w:eastAsia="楷体" w:cs="MS Mincho"/>
        </w:rPr>
        <w:t>，</w:t>
      </w:r>
      <w:r>
        <w:rPr>
          <w:rFonts w:hint="eastAsia" w:ascii="楷体" w:hAnsi="楷体" w:eastAsia="楷体" w:cs="PingFang TC"/>
        </w:rPr>
        <w:t>经审</w:t>
      </w:r>
      <w:r>
        <w:rPr>
          <w:rFonts w:hint="eastAsia" w:ascii="楷体" w:hAnsi="楷体" w:eastAsia="楷体" w:cs="MS Mincho"/>
        </w:rPr>
        <w:t>核后解除合作关系</w:t>
      </w:r>
      <w:r>
        <w:rPr>
          <w:rFonts w:ascii="楷体" w:hAnsi="楷体" w:eastAsia="楷体" w:cs="MS Mincho"/>
        </w:rPr>
        <w:t>；</w:t>
      </w:r>
    </w:p>
    <w:p>
      <w:pPr>
        <w:numPr>
          <w:ilvl w:val="0"/>
          <w:numId w:val="4"/>
        </w:numPr>
        <w:spacing w:before="100" w:beforeAutospacing="1" w:after="100" w:afterAutospacing="1" w:line="360" w:lineRule="auto"/>
        <w:rPr>
          <w:rFonts w:hint="eastAsia" w:ascii="楷体" w:hAnsi="楷体" w:eastAsia="楷体"/>
        </w:rPr>
      </w:pPr>
      <w:r>
        <w:rPr>
          <w:rFonts w:hint="eastAsia" w:ascii="楷体" w:hAnsi="楷体" w:eastAsia="楷体" w:cs="MS Mincho"/>
        </w:rPr>
        <w:t>若</w:t>
      </w:r>
      <w:r>
        <w:rPr>
          <w:rFonts w:hint="eastAsia" w:ascii="楷体" w:hAnsi="楷体" w:eastAsia="楷体" w:cs="PingFang TC"/>
        </w:rPr>
        <w:t>违</w:t>
      </w:r>
      <w:r>
        <w:rPr>
          <w:rFonts w:hint="eastAsia" w:ascii="楷体" w:hAnsi="楷体" w:eastAsia="楷体" w:cs="MS Mincho"/>
        </w:rPr>
        <w:t>反公</w:t>
      </w:r>
      <w:r>
        <w:rPr>
          <w:rFonts w:hint="eastAsia" w:ascii="楷体" w:hAnsi="楷体" w:eastAsia="楷体" w:cs="PingFang TC"/>
        </w:rPr>
        <w:t>约</w:t>
      </w:r>
      <w:r>
        <w:rPr>
          <w:rFonts w:hint="eastAsia" w:ascii="楷体" w:hAnsi="楷体" w:eastAsia="楷体" w:cs="MS Mincho"/>
        </w:rPr>
        <w:t>行</w:t>
      </w:r>
      <w:r>
        <w:rPr>
          <w:rFonts w:hint="eastAsia" w:ascii="楷体" w:hAnsi="楷体" w:eastAsia="楷体" w:cs="PingFang TC"/>
        </w:rPr>
        <w:t>为</w:t>
      </w:r>
      <w:r>
        <w:rPr>
          <w:rFonts w:hint="eastAsia" w:ascii="楷体" w:hAnsi="楷体" w:eastAsia="楷体" w:cs="MS Mincho"/>
        </w:rPr>
        <w:t>属情</w:t>
      </w:r>
      <w:r>
        <w:rPr>
          <w:rFonts w:hint="eastAsia" w:ascii="楷体" w:hAnsi="楷体" w:eastAsia="楷体" w:cs="PingFang TC"/>
        </w:rPr>
        <w:t>节严</w:t>
      </w:r>
      <w:r>
        <w:rPr>
          <w:rFonts w:hint="eastAsia" w:ascii="楷体" w:hAnsi="楷体" w:eastAsia="楷体" w:cs="MS Mincho"/>
        </w:rPr>
        <w:t>重者（如欺</w:t>
      </w:r>
      <w:r>
        <w:rPr>
          <w:rFonts w:hint="eastAsia" w:ascii="楷体" w:hAnsi="楷体" w:eastAsia="楷体" w:cs="PingFang TC"/>
        </w:rPr>
        <w:t>诈</w:t>
      </w:r>
      <w:r>
        <w:rPr>
          <w:rFonts w:hint="eastAsia" w:ascii="楷体" w:hAnsi="楷体" w:eastAsia="楷体" w:cs="MS Mincho"/>
        </w:rPr>
        <w:t>、虚假承</w:t>
      </w:r>
      <w:r>
        <w:rPr>
          <w:rFonts w:hint="eastAsia" w:ascii="楷体" w:hAnsi="楷体" w:eastAsia="楷体" w:cs="PingFang TC"/>
        </w:rPr>
        <w:t>诺</w:t>
      </w:r>
      <w:r>
        <w:rPr>
          <w:rFonts w:hint="eastAsia" w:ascii="楷体" w:hAnsi="楷体" w:eastAsia="楷体" w:cs="MS Mincho"/>
        </w:rPr>
        <w:t>、</w:t>
      </w:r>
      <w:r>
        <w:rPr>
          <w:rFonts w:hint="eastAsia" w:ascii="楷体" w:hAnsi="楷体" w:eastAsia="楷体" w:cs="PingFang TC"/>
        </w:rPr>
        <w:t>损</w:t>
      </w:r>
      <w:r>
        <w:rPr>
          <w:rFonts w:hint="eastAsia" w:ascii="楷体" w:hAnsi="楷体" w:eastAsia="楷体" w:cs="MS Mincho"/>
        </w:rPr>
        <w:t>害平台声誉等），</w:t>
      </w:r>
      <w:r>
        <w:rPr>
          <w:rFonts w:hint="eastAsia" w:ascii="楷体" w:hAnsi="楷体" w:eastAsia="楷体" w:cs="PingFang TC"/>
        </w:rPr>
        <w:t>经</w:t>
      </w:r>
      <w:r>
        <w:rPr>
          <w:rFonts w:hint="eastAsia" w:ascii="楷体" w:hAnsi="楷体" w:eastAsia="楷体" w:cs="MS Mincho"/>
        </w:rPr>
        <w:t>基地秘书处</w:t>
      </w:r>
      <w:r>
        <w:rPr>
          <w:rFonts w:hint="eastAsia" w:ascii="楷体" w:hAnsi="楷体" w:eastAsia="楷体" w:cs="PingFang TC"/>
        </w:rPr>
        <w:t>评议</w:t>
      </w:r>
      <w:r>
        <w:rPr>
          <w:rFonts w:hint="eastAsia" w:ascii="楷体" w:hAnsi="楷体" w:eastAsia="楷体" w:cs="MS Mincho"/>
        </w:rPr>
        <w:t>可予以除名</w:t>
      </w:r>
      <w:r>
        <w:rPr>
          <w:rFonts w:hint="eastAsia" w:ascii="楷体" w:hAnsi="楷体" w:eastAsia="楷体" w:cs="PingFang TC"/>
        </w:rPr>
        <w:t>处</w:t>
      </w:r>
      <w:r>
        <w:rPr>
          <w:rFonts w:hint="eastAsia" w:ascii="楷体" w:hAnsi="楷体" w:eastAsia="楷体" w:cs="MS Mincho"/>
        </w:rPr>
        <w:t>理</w:t>
      </w:r>
      <w:r>
        <w:rPr>
          <w:rFonts w:ascii="楷体" w:hAnsi="楷体" w:eastAsia="楷体" w:cs="MS Mincho"/>
        </w:rPr>
        <w:t>；</w:t>
      </w:r>
    </w:p>
    <w:p>
      <w:pPr>
        <w:numPr>
          <w:ilvl w:val="0"/>
          <w:numId w:val="4"/>
        </w:numPr>
        <w:spacing w:before="100" w:beforeAutospacing="1" w:after="100" w:afterAutospacing="1" w:line="360" w:lineRule="auto"/>
        <w:rPr>
          <w:rFonts w:ascii="楷体" w:hAnsi="楷体" w:eastAsia="楷体"/>
        </w:rPr>
      </w:pPr>
      <w:r>
        <w:rPr>
          <w:rFonts w:hint="eastAsia" w:ascii="楷体" w:hAnsi="楷体" w:eastAsia="楷体" w:cs="MS Mincho"/>
        </w:rPr>
        <w:t>退出</w:t>
      </w:r>
      <w:r>
        <w:rPr>
          <w:rFonts w:hint="eastAsia" w:ascii="楷体" w:hAnsi="楷体" w:eastAsia="楷体" w:cs="PingFang TC"/>
        </w:rPr>
        <w:t>单</w:t>
      </w:r>
      <w:r>
        <w:rPr>
          <w:rFonts w:hint="eastAsia" w:ascii="楷体" w:hAnsi="楷体" w:eastAsia="楷体" w:cs="MS Mincho"/>
        </w:rPr>
        <w:t>位的</w:t>
      </w:r>
      <w:r>
        <w:rPr>
          <w:rFonts w:hint="eastAsia" w:ascii="楷体" w:hAnsi="楷体" w:eastAsia="楷体" w:cs="PingFang TC"/>
        </w:rPr>
        <w:t>历</w:t>
      </w:r>
      <w:r>
        <w:rPr>
          <w:rFonts w:hint="eastAsia" w:ascii="楷体" w:hAnsi="楷体" w:eastAsia="楷体" w:cs="MS Mincho"/>
        </w:rPr>
        <w:t>史数据与合作</w:t>
      </w:r>
      <w:r>
        <w:rPr>
          <w:rFonts w:hint="eastAsia" w:ascii="楷体" w:hAnsi="楷体" w:eastAsia="楷体" w:cs="PingFang TC"/>
        </w:rPr>
        <w:t>记录</w:t>
      </w:r>
      <w:r>
        <w:rPr>
          <w:rFonts w:hint="eastAsia" w:ascii="楷体" w:hAnsi="楷体" w:eastAsia="楷体" w:cs="MS Mincho"/>
        </w:rPr>
        <w:t>将封存</w:t>
      </w:r>
      <w:r>
        <w:rPr>
          <w:rFonts w:hint="eastAsia" w:ascii="楷体" w:hAnsi="楷体" w:eastAsia="楷体" w:cs="PingFang TC"/>
        </w:rPr>
        <w:t>归</w:t>
      </w:r>
      <w:r>
        <w:rPr>
          <w:rFonts w:hint="eastAsia" w:ascii="楷体" w:hAnsi="楷体" w:eastAsia="楷体" w:cs="MS Mincho"/>
        </w:rPr>
        <w:t>档，保留</w:t>
      </w:r>
      <w:r>
        <w:rPr>
          <w:rFonts w:hint="eastAsia" w:ascii="楷体" w:hAnsi="楷体" w:eastAsia="楷体" w:cs="PingFang TC"/>
        </w:rPr>
        <w:t>监</w:t>
      </w:r>
      <w:r>
        <w:rPr>
          <w:rFonts w:hint="eastAsia" w:ascii="楷体" w:hAnsi="楷体" w:eastAsia="楷体" w:cs="MS Mincho"/>
        </w:rPr>
        <w:t>督与参考用途</w:t>
      </w:r>
      <w:r>
        <w:rPr>
          <w:rFonts w:ascii="楷体" w:hAnsi="楷体" w:eastAsia="楷体" w:cs="MS Mincho"/>
        </w:rPr>
        <w:t>。</w:t>
      </w:r>
    </w:p>
    <w:p>
      <w:pPr>
        <w:spacing w:before="100" w:beforeAutospacing="1" w:after="100" w:afterAutospacing="1" w:line="360" w:lineRule="auto"/>
        <w:rPr>
          <w:rFonts w:ascii="楷体" w:hAnsi="楷体" w:eastAsia="楷体"/>
        </w:rPr>
      </w:pPr>
      <w:r>
        <w:rPr>
          <w:rFonts w:ascii="楷体" w:hAnsi="楷体" w:eastAsia="楷体"/>
          <w14:ligatures w14:val="standardContextual"/>
        </w:rPr>
        <w:pict>
          <v:rect id="_x0000_i1025" o:spt="1" style="height:0.05pt;width:451.3pt;" fillcolor="#A0A0A0" filled="t" stroked="f" coordsize="21600,21600" o:hr="t" o:hrstd="t" o:hralign="center">
            <v:path/>
            <v:fill on="t" focussize="0,0"/>
            <v:stroke on="f"/>
            <v:imagedata o:title=""/>
            <o:lock v:ext="edit"/>
            <w10:wrap type="none"/>
            <w10:anchorlock/>
          </v:rect>
        </w:pict>
      </w:r>
    </w:p>
    <w:p>
      <w:pPr>
        <w:spacing w:before="100" w:beforeAutospacing="1" w:after="100" w:afterAutospacing="1" w:line="360" w:lineRule="auto"/>
        <w:rPr>
          <w:rFonts w:hint="eastAsia" w:ascii="楷体" w:hAnsi="楷体" w:eastAsia="楷体" w:cs="MS Mincho"/>
          <w:b/>
          <w:bCs/>
          <w:lang w:val="en-US"/>
        </w:rPr>
      </w:pPr>
      <w:r>
        <w:rPr>
          <w:rFonts w:hint="eastAsia" w:ascii="楷体" w:hAnsi="楷体" w:eastAsia="楷体" w:cs="MS Mincho"/>
          <w:b/>
          <w:bCs/>
        </w:rPr>
        <w:t>本公</w:t>
      </w:r>
      <w:r>
        <w:rPr>
          <w:rFonts w:hint="eastAsia" w:ascii="楷体" w:hAnsi="楷体" w:eastAsia="楷体" w:cs="PingFang TC"/>
          <w:b/>
          <w:bCs/>
        </w:rPr>
        <w:t>约</w:t>
      </w:r>
      <w:r>
        <w:rPr>
          <w:rFonts w:hint="eastAsia" w:ascii="楷体" w:hAnsi="楷体" w:eastAsia="楷体" w:cs="MS Mincho"/>
          <w:b/>
          <w:bCs/>
        </w:rPr>
        <w:t>自合伙人</w:t>
      </w:r>
      <w:r>
        <w:rPr>
          <w:rFonts w:hint="eastAsia" w:ascii="楷体" w:hAnsi="楷体" w:eastAsia="楷体" w:cs="PingFang TC"/>
          <w:b/>
          <w:bCs/>
        </w:rPr>
        <w:t>签</w:t>
      </w:r>
      <w:r>
        <w:rPr>
          <w:rFonts w:hint="eastAsia" w:ascii="楷体" w:hAnsi="楷体" w:eastAsia="楷体" w:cs="MS Mincho"/>
          <w:b/>
          <w:bCs/>
        </w:rPr>
        <w:t>署并</w:t>
      </w:r>
      <w:r>
        <w:rPr>
          <w:rFonts w:hint="eastAsia" w:ascii="楷体" w:hAnsi="楷体" w:eastAsia="楷体" w:cs="PingFang TC"/>
          <w:b/>
          <w:bCs/>
        </w:rPr>
        <w:t>获</w:t>
      </w:r>
      <w:r>
        <w:rPr>
          <w:rFonts w:hint="eastAsia" w:ascii="楷体" w:hAnsi="楷体" w:eastAsia="楷体" w:cs="MS Mincho"/>
          <w:b/>
          <w:bCs/>
        </w:rPr>
        <w:t>得</w:t>
      </w:r>
      <w:r>
        <w:rPr>
          <w:rFonts w:hint="eastAsia" w:ascii="楷体" w:hAnsi="楷体" w:eastAsia="楷体" w:cs="PingFang TC"/>
          <w:b/>
          <w:bCs/>
        </w:rPr>
        <w:t>秘书处</w:t>
      </w:r>
      <w:r>
        <w:rPr>
          <w:rFonts w:hint="eastAsia" w:ascii="楷体" w:hAnsi="楷体" w:eastAsia="楷体" w:cs="MS Mincho"/>
          <w:b/>
          <w:bCs/>
        </w:rPr>
        <w:t>批准之日起生效。全球出海合伙人</w:t>
      </w:r>
      <w:r>
        <w:rPr>
          <w:rFonts w:hint="eastAsia" w:ascii="楷体" w:hAnsi="楷体" w:eastAsia="楷体" w:cs="PingFang TC"/>
          <w:b/>
          <w:bCs/>
        </w:rPr>
        <w:t>应</w:t>
      </w:r>
      <w:r>
        <w:rPr>
          <w:rFonts w:hint="eastAsia" w:ascii="楷体" w:hAnsi="楷体" w:eastAsia="楷体" w:cs="MS Mincho"/>
          <w:b/>
          <w:bCs/>
        </w:rPr>
        <w:t>共同承</w:t>
      </w:r>
      <w:r>
        <w:rPr>
          <w:rFonts w:hint="eastAsia" w:ascii="楷体" w:hAnsi="楷体" w:eastAsia="楷体" w:cs="PingFang TC"/>
          <w:b/>
          <w:bCs/>
        </w:rPr>
        <w:t>诺</w:t>
      </w:r>
      <w:r>
        <w:rPr>
          <w:rFonts w:hint="eastAsia" w:ascii="楷体" w:hAnsi="楷体" w:eastAsia="楷体" w:cs="MS Mincho"/>
          <w:b/>
          <w:bCs/>
        </w:rPr>
        <w:t>遵守上述条款，</w:t>
      </w:r>
      <w:r>
        <w:rPr>
          <w:rFonts w:hint="eastAsia" w:ascii="楷体" w:hAnsi="楷体" w:eastAsia="楷体" w:cs="PingFang TC"/>
          <w:b/>
          <w:bCs/>
        </w:rPr>
        <w:t>维护</w:t>
      </w:r>
      <w:r>
        <w:rPr>
          <w:rFonts w:hint="eastAsia" w:ascii="楷体" w:hAnsi="楷体" w:eastAsia="楷体" w:cs="MS Mincho"/>
          <w:b/>
          <w:bCs/>
        </w:rPr>
        <w:t>平台健康运行与国</w:t>
      </w:r>
      <w:r>
        <w:rPr>
          <w:rFonts w:hint="eastAsia" w:ascii="楷体" w:hAnsi="楷体" w:eastAsia="楷体" w:cs="PingFang TC"/>
          <w:b/>
          <w:bCs/>
        </w:rPr>
        <w:t>际</w:t>
      </w:r>
      <w:r>
        <w:rPr>
          <w:rFonts w:hint="eastAsia" w:ascii="楷体" w:hAnsi="楷体" w:eastAsia="楷体" w:cs="MS Mincho"/>
          <w:b/>
          <w:bCs/>
        </w:rPr>
        <w:t>合作公信力</w:t>
      </w:r>
      <w:r>
        <w:rPr>
          <w:rFonts w:ascii="楷体" w:hAnsi="楷体" w:eastAsia="楷体" w:cs="MS Mincho"/>
          <w:b/>
          <w:bCs/>
        </w:rPr>
        <w:t>。</w:t>
      </w:r>
    </w:p>
    <w:p>
      <w:pPr>
        <w:spacing w:before="100" w:beforeAutospacing="1" w:after="100" w:afterAutospacing="1" w:line="360" w:lineRule="auto"/>
        <w:rPr>
          <w:rFonts w:ascii="楷体" w:hAnsi="楷体" w:eastAsia="楷体"/>
          <w:lang w:val="en-US"/>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ascii="楷体" w:hAnsi="楷体" w:eastAsia="楷体"/>
        </w:rPr>
      </w:pPr>
    </w:p>
    <w:p>
      <w:pPr>
        <w:spacing w:before="100" w:beforeAutospacing="1" w:after="100" w:afterAutospacing="1" w:line="360" w:lineRule="auto"/>
        <w:rPr>
          <w:rFonts w:hint="eastAsia" w:ascii="楷体" w:hAnsi="楷体" w:eastAsia="楷体"/>
          <w:lang w:val="en-US"/>
        </w:rPr>
      </w:pPr>
    </w:p>
    <w:p>
      <w:pPr>
        <w:spacing w:before="100" w:beforeAutospacing="1" w:after="100" w:afterAutospacing="1" w:line="360" w:lineRule="auto"/>
        <w:jc w:val="center"/>
        <w:rPr>
          <w:rFonts w:hint="default" w:ascii="Times New Roman" w:hAnsi="Times New Roman" w:eastAsia="楷体" w:cs="Times New Roman"/>
          <w:sz w:val="32"/>
          <w:szCs w:val="32"/>
          <w:lang w:val="en-US"/>
        </w:rPr>
      </w:pPr>
      <w:r>
        <w:rPr>
          <w:rFonts w:hint="default" w:ascii="Times New Roman" w:hAnsi="Times New Roman" w:eastAsia="楷体" w:cs="Times New Roman"/>
          <w:sz w:val="32"/>
          <w:szCs w:val="32"/>
          <w:lang w:val="en-US"/>
        </w:rPr>
        <w:t>Global Partnership Cooperation Charter</w:t>
      </w:r>
    </w:p>
    <w:p>
      <w:p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To ensure the healthy and orderly development of the Global Partnership and to build a mutually trusting, collaborative, and open outbound environment, all partners voluntarily agree to abide by the following charter:</w:t>
      </w:r>
    </w:p>
    <w:p>
      <w:pPr>
        <w:spacing w:before="100" w:beforeAutospacing="1" w:after="100" w:afterAutospacing="1" w:line="360" w:lineRule="auto"/>
        <w:outlineLvl w:val="2"/>
        <w:rPr>
          <w:rFonts w:hint="default" w:ascii="Times New Roman" w:hAnsi="Times New Roman" w:eastAsia="楷体" w:cs="Times New Roman"/>
          <w:b/>
          <w:bCs/>
          <w:color w:val="000000"/>
          <w:sz w:val="27"/>
          <w:szCs w:val="27"/>
        </w:rPr>
      </w:pPr>
      <w:r>
        <w:rPr>
          <w:rFonts w:hint="default" w:ascii="Times New Roman" w:hAnsi="Times New Roman" w:eastAsia="楷体" w:cs="Times New Roman"/>
          <w:b/>
          <w:bCs/>
          <w:color w:val="000000"/>
          <w:sz w:val="27"/>
          <w:szCs w:val="27"/>
        </w:rPr>
        <w:t>I. Shared Mission</w:t>
      </w:r>
    </w:p>
    <w:p>
      <w:pPr>
        <w:numPr>
          <w:ilvl w:val="0"/>
          <w:numId w:val="5"/>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Uphold the fundamental principles of </w:t>
      </w:r>
      <w:r>
        <w:rPr>
          <w:rFonts w:hint="default" w:ascii="Times New Roman" w:hAnsi="Times New Roman" w:eastAsia="楷体" w:cs="Times New Roman"/>
          <w:b/>
          <w:bCs/>
          <w:color w:val="000000"/>
        </w:rPr>
        <w:t>resource sharing, coordinated development, and mutual benefit</w:t>
      </w:r>
      <w:r>
        <w:rPr>
          <w:rFonts w:hint="default" w:ascii="Times New Roman" w:hAnsi="Times New Roman" w:eastAsia="楷体" w:cs="Times New Roman"/>
          <w:color w:val="000000"/>
        </w:rPr>
        <w:t>.</w:t>
      </w:r>
    </w:p>
    <w:p>
      <w:pPr>
        <w:numPr>
          <w:ilvl w:val="0"/>
          <w:numId w:val="5"/>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Firmly support the national </w:t>
      </w:r>
      <w:r>
        <w:rPr>
          <w:rFonts w:hint="default" w:ascii="Times New Roman" w:hAnsi="Times New Roman" w:eastAsia="楷体" w:cs="Times New Roman"/>
          <w:b/>
          <w:bCs/>
          <w:color w:val="000000"/>
        </w:rPr>
        <w:t>Belt and Road Initiative</w:t>
      </w:r>
      <w:r>
        <w:rPr>
          <w:rFonts w:hint="default" w:ascii="Times New Roman" w:hAnsi="Times New Roman" w:eastAsia="楷体" w:cs="Times New Roman"/>
          <w:color w:val="000000"/>
        </w:rPr>
        <w:t> and the strategies of enterprises to both </w:t>
      </w:r>
      <w:r>
        <w:rPr>
          <w:rFonts w:hint="default" w:ascii="Times New Roman" w:hAnsi="Times New Roman" w:eastAsia="楷体" w:cs="Times New Roman"/>
          <w:b/>
          <w:bCs/>
          <w:color w:val="000000"/>
        </w:rPr>
        <w:t>“go global” and “bring in”</w:t>
      </w:r>
      <w:r>
        <w:rPr>
          <w:rFonts w:hint="default" w:ascii="Times New Roman" w:hAnsi="Times New Roman" w:eastAsia="楷体" w:cs="Times New Roman"/>
          <w:color w:val="000000"/>
        </w:rPr>
        <w:t>.</w:t>
      </w:r>
    </w:p>
    <w:p>
      <w:pPr>
        <w:numPr>
          <w:ilvl w:val="0"/>
          <w:numId w:val="5"/>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Adhere to </w:t>
      </w:r>
      <w:r>
        <w:rPr>
          <w:rFonts w:hint="default" w:ascii="Times New Roman" w:hAnsi="Times New Roman" w:eastAsia="楷体" w:cs="Times New Roman"/>
          <w:b/>
          <w:bCs/>
          <w:color w:val="000000"/>
        </w:rPr>
        <w:t>international multilateralism</w:t>
      </w:r>
      <w:r>
        <w:rPr>
          <w:rFonts w:hint="default" w:ascii="Times New Roman" w:hAnsi="Times New Roman" w:eastAsia="楷体" w:cs="Times New Roman"/>
          <w:color w:val="000000"/>
        </w:rPr>
        <w:t>, firmly promote global cooperation, economic exchange, cultural communication, and sustainable development.</w:t>
      </w:r>
    </w:p>
    <w:p>
      <w:pPr>
        <w:numPr>
          <w:ilvl w:val="0"/>
          <w:numId w:val="5"/>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Commit to advancing the international development of Chinese enterprises and achieving </w:t>
      </w:r>
      <w:r>
        <w:rPr>
          <w:rFonts w:hint="default" w:ascii="Times New Roman" w:hAnsi="Times New Roman" w:eastAsia="楷体" w:cs="Times New Roman"/>
          <w:b/>
          <w:bCs/>
          <w:color w:val="000000"/>
        </w:rPr>
        <w:t>deep integration into regional markets</w:t>
      </w:r>
      <w:r>
        <w:rPr>
          <w:rFonts w:hint="default" w:ascii="Times New Roman" w:hAnsi="Times New Roman" w:eastAsia="楷体" w:cs="Times New Roman"/>
          <w:color w:val="000000"/>
        </w:rPr>
        <w:t>.</w:t>
      </w:r>
    </w:p>
    <w:p>
      <w:pPr>
        <w:spacing w:before="100" w:beforeAutospacing="1" w:after="100" w:afterAutospacing="1" w:line="360" w:lineRule="auto"/>
        <w:outlineLvl w:val="2"/>
        <w:rPr>
          <w:rFonts w:hint="default" w:ascii="Times New Roman" w:hAnsi="Times New Roman" w:eastAsia="楷体" w:cs="Times New Roman"/>
          <w:b/>
          <w:bCs/>
          <w:color w:val="000000"/>
          <w:sz w:val="27"/>
          <w:szCs w:val="27"/>
        </w:rPr>
      </w:pPr>
      <w:r>
        <w:rPr>
          <w:rFonts w:hint="default" w:ascii="Times New Roman" w:hAnsi="Times New Roman" w:eastAsia="楷体" w:cs="Times New Roman"/>
          <w:b/>
          <w:bCs/>
          <w:color w:val="000000"/>
          <w:sz w:val="27"/>
          <w:szCs w:val="27"/>
        </w:rPr>
        <w:t>II. Code of Conduct</w:t>
      </w:r>
    </w:p>
    <w:p>
      <w:pPr>
        <w:numPr>
          <w:ilvl w:val="0"/>
          <w:numId w:val="6"/>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Strictly comply with the </w:t>
      </w:r>
      <w:r>
        <w:rPr>
          <w:rFonts w:hint="default" w:ascii="Times New Roman" w:hAnsi="Times New Roman" w:eastAsia="楷体" w:cs="Times New Roman"/>
          <w:b/>
          <w:bCs/>
          <w:color w:val="000000"/>
        </w:rPr>
        <w:t>laws and regulations of host countries</w:t>
      </w:r>
      <w:r>
        <w:rPr>
          <w:rFonts w:hint="default" w:ascii="Times New Roman" w:hAnsi="Times New Roman" w:eastAsia="楷体" w:cs="Times New Roman"/>
          <w:color w:val="000000"/>
        </w:rPr>
        <w:t>, fulfil social responsibilities, and respect local cultures and business ethics.</w:t>
      </w:r>
    </w:p>
    <w:p>
      <w:pPr>
        <w:numPr>
          <w:ilvl w:val="0"/>
          <w:numId w:val="6"/>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It is </w:t>
      </w:r>
      <w:r>
        <w:rPr>
          <w:rFonts w:hint="default" w:ascii="Times New Roman" w:hAnsi="Times New Roman" w:eastAsia="楷体" w:cs="Times New Roman"/>
          <w:b/>
          <w:bCs/>
          <w:color w:val="000000"/>
        </w:rPr>
        <w:t>prohibited</w:t>
      </w:r>
      <w:r>
        <w:rPr>
          <w:rFonts w:hint="default" w:ascii="Times New Roman" w:hAnsi="Times New Roman" w:eastAsia="楷体" w:cs="Times New Roman"/>
          <w:color w:val="000000"/>
        </w:rPr>
        <w:t> to use the name of the alliance for </w:t>
      </w:r>
      <w:r>
        <w:rPr>
          <w:rFonts w:hint="default" w:ascii="Times New Roman" w:hAnsi="Times New Roman" w:eastAsia="楷体" w:cs="Times New Roman"/>
          <w:b/>
          <w:bCs/>
          <w:color w:val="000000"/>
        </w:rPr>
        <w:t>false advertising, illegal fundraising, or project packaging</w:t>
      </w:r>
      <w:r>
        <w:rPr>
          <w:rFonts w:hint="default" w:ascii="Times New Roman" w:hAnsi="Times New Roman" w:eastAsia="楷体" w:cs="Times New Roman"/>
          <w:color w:val="000000"/>
        </w:rPr>
        <w:t>.</w:t>
      </w:r>
    </w:p>
    <w:p>
      <w:pPr>
        <w:numPr>
          <w:ilvl w:val="0"/>
          <w:numId w:val="6"/>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Commit to </w:t>
      </w:r>
      <w:r>
        <w:rPr>
          <w:rFonts w:hint="default" w:ascii="Times New Roman" w:hAnsi="Times New Roman" w:eastAsia="楷体" w:cs="Times New Roman"/>
          <w:b/>
          <w:bCs/>
          <w:color w:val="000000"/>
        </w:rPr>
        <w:t>publishing truthful information</w:t>
      </w:r>
      <w:r>
        <w:rPr>
          <w:rFonts w:hint="default" w:ascii="Times New Roman" w:hAnsi="Times New Roman" w:eastAsia="楷体" w:cs="Times New Roman"/>
          <w:color w:val="000000"/>
        </w:rPr>
        <w:t> on the platform and during matchmaking activities, safeguarding a healthy ecosystem.</w:t>
      </w:r>
    </w:p>
    <w:p>
      <w:pPr>
        <w:numPr>
          <w:ilvl w:val="0"/>
          <w:numId w:val="6"/>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Do not </w:t>
      </w:r>
      <w:r>
        <w:rPr>
          <w:rFonts w:hint="default" w:ascii="Times New Roman" w:hAnsi="Times New Roman" w:eastAsia="楷体" w:cs="Times New Roman"/>
          <w:b/>
          <w:bCs/>
          <w:color w:val="000000"/>
        </w:rPr>
        <w:t xml:space="preserve">disclose any confidential or unpublished information, commercial data, or cooperation details </w:t>
      </w:r>
      <w:r>
        <w:rPr>
          <w:rFonts w:hint="default" w:ascii="Times New Roman" w:hAnsi="Times New Roman" w:eastAsia="楷体" w:cs="Times New Roman"/>
          <w:color w:val="000000"/>
        </w:rPr>
        <w:t>belonging to the platform or other parties.</w:t>
      </w:r>
    </w:p>
    <w:p>
      <w:pPr>
        <w:spacing w:before="100" w:beforeAutospacing="1" w:after="100" w:afterAutospacing="1" w:line="360" w:lineRule="auto"/>
        <w:outlineLvl w:val="2"/>
        <w:rPr>
          <w:rFonts w:hint="default" w:ascii="Times New Roman" w:hAnsi="Times New Roman" w:eastAsia="楷体" w:cs="Times New Roman"/>
          <w:b/>
          <w:bCs/>
          <w:color w:val="000000"/>
          <w:sz w:val="27"/>
          <w:szCs w:val="27"/>
        </w:rPr>
      </w:pPr>
      <w:r>
        <w:rPr>
          <w:rFonts w:hint="default" w:ascii="Times New Roman" w:hAnsi="Times New Roman" w:eastAsia="楷体" w:cs="Times New Roman"/>
          <w:b/>
          <w:bCs/>
          <w:color w:val="000000"/>
          <w:sz w:val="27"/>
          <w:szCs w:val="27"/>
        </w:rPr>
        <w:t>III. Collaboration Mechanism</w:t>
      </w:r>
    </w:p>
    <w:p>
      <w:pPr>
        <w:numPr>
          <w:ilvl w:val="0"/>
          <w:numId w:val="7"/>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Encourage </w:t>
      </w:r>
      <w:r>
        <w:rPr>
          <w:rFonts w:hint="default" w:ascii="Times New Roman" w:hAnsi="Times New Roman" w:eastAsia="楷体" w:cs="Times New Roman"/>
          <w:b/>
          <w:bCs/>
          <w:color w:val="000000"/>
        </w:rPr>
        <w:t>substantive cooperation</w:t>
      </w:r>
      <w:r>
        <w:rPr>
          <w:rFonts w:hint="default" w:ascii="Times New Roman" w:hAnsi="Times New Roman" w:eastAsia="楷体" w:cs="Times New Roman"/>
          <w:color w:val="000000"/>
        </w:rPr>
        <w:t> among members, including but not limited to </w:t>
      </w:r>
      <w:r>
        <w:rPr>
          <w:rFonts w:hint="default" w:ascii="Times New Roman" w:hAnsi="Times New Roman" w:eastAsia="楷体" w:cs="Times New Roman"/>
          <w:b/>
          <w:bCs/>
          <w:color w:val="000000"/>
        </w:rPr>
        <w:t>joint bidding, cross-border technical services, talent dispatch, and shared channel development</w:t>
      </w:r>
      <w:r>
        <w:rPr>
          <w:rFonts w:hint="default" w:ascii="Times New Roman" w:hAnsi="Times New Roman" w:eastAsia="楷体" w:cs="Times New Roman"/>
          <w:color w:val="000000"/>
        </w:rPr>
        <w:t>.</w:t>
      </w:r>
    </w:p>
    <w:p>
      <w:pPr>
        <w:numPr>
          <w:ilvl w:val="0"/>
          <w:numId w:val="7"/>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Proactively share </w:t>
      </w:r>
      <w:r>
        <w:rPr>
          <w:rFonts w:hint="default" w:ascii="Times New Roman" w:hAnsi="Times New Roman" w:eastAsia="楷体" w:cs="Times New Roman"/>
          <w:b/>
          <w:bCs/>
          <w:color w:val="000000"/>
        </w:rPr>
        <w:t>case studies, compliance experiences, and risk alerts</w:t>
      </w:r>
      <w:r>
        <w:rPr>
          <w:rFonts w:hint="default" w:ascii="Times New Roman" w:hAnsi="Times New Roman" w:eastAsia="楷体" w:cs="Times New Roman"/>
          <w:color w:val="000000"/>
        </w:rPr>
        <w:t>, fostering a </w:t>
      </w:r>
      <w:r>
        <w:rPr>
          <w:rFonts w:hint="default" w:ascii="Times New Roman" w:hAnsi="Times New Roman" w:eastAsia="楷体" w:cs="Times New Roman"/>
          <w:b/>
          <w:bCs/>
          <w:color w:val="000000"/>
        </w:rPr>
        <w:t>learning-oriented ecosystem</w:t>
      </w:r>
      <w:r>
        <w:rPr>
          <w:rFonts w:hint="default" w:ascii="Times New Roman" w:hAnsi="Times New Roman" w:eastAsia="楷体" w:cs="Times New Roman"/>
          <w:color w:val="000000"/>
        </w:rPr>
        <w:t>.</w:t>
      </w:r>
    </w:p>
    <w:p>
      <w:pPr>
        <w:numPr>
          <w:ilvl w:val="0"/>
          <w:numId w:val="7"/>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Actively participate in the alliance’s </w:t>
      </w:r>
      <w:r>
        <w:rPr>
          <w:rFonts w:hint="default" w:ascii="Times New Roman" w:hAnsi="Times New Roman" w:eastAsia="楷体" w:cs="Times New Roman"/>
          <w:b/>
          <w:bCs/>
          <w:color w:val="000000"/>
        </w:rPr>
        <w:t>online and offline events</w:t>
      </w:r>
      <w:r>
        <w:rPr>
          <w:rFonts w:hint="default" w:ascii="Times New Roman" w:hAnsi="Times New Roman" w:eastAsia="楷体" w:cs="Times New Roman"/>
          <w:color w:val="000000"/>
        </w:rPr>
        <w:t> to enhance </w:t>
      </w:r>
      <w:r>
        <w:rPr>
          <w:rFonts w:hint="default" w:ascii="Times New Roman" w:hAnsi="Times New Roman" w:eastAsia="楷体" w:cs="Times New Roman"/>
          <w:b/>
          <w:bCs/>
          <w:color w:val="000000"/>
        </w:rPr>
        <w:t>collective visibility and regional influence</w:t>
      </w:r>
      <w:r>
        <w:rPr>
          <w:rFonts w:hint="default" w:ascii="Times New Roman" w:hAnsi="Times New Roman" w:eastAsia="楷体" w:cs="Times New Roman"/>
          <w:color w:val="000000"/>
        </w:rPr>
        <w:t>.</w:t>
      </w:r>
    </w:p>
    <w:p>
      <w:pPr>
        <w:numPr>
          <w:ilvl w:val="0"/>
          <w:numId w:val="7"/>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Support </w:t>
      </w:r>
      <w:r>
        <w:rPr>
          <w:rFonts w:hint="default" w:ascii="Times New Roman" w:hAnsi="Times New Roman" w:eastAsia="楷体" w:cs="Times New Roman"/>
          <w:b/>
          <w:bCs/>
          <w:color w:val="000000"/>
        </w:rPr>
        <w:t>platform innovation and pilot mechanisms</w:t>
      </w:r>
      <w:r>
        <w:rPr>
          <w:rFonts w:hint="default" w:ascii="Times New Roman" w:hAnsi="Times New Roman" w:eastAsia="楷体" w:cs="Times New Roman"/>
          <w:color w:val="000000"/>
        </w:rPr>
        <w:t>, and engage in building and improving the </w:t>
      </w:r>
      <w:r>
        <w:rPr>
          <w:rFonts w:hint="default" w:ascii="Times New Roman" w:hAnsi="Times New Roman" w:eastAsia="楷体" w:cs="Times New Roman"/>
          <w:b/>
          <w:bCs/>
          <w:color w:val="000000"/>
        </w:rPr>
        <w:t>partnership governance structure</w:t>
      </w:r>
      <w:r>
        <w:rPr>
          <w:rFonts w:hint="default" w:ascii="Times New Roman" w:hAnsi="Times New Roman" w:eastAsia="楷体" w:cs="Times New Roman"/>
          <w:color w:val="000000"/>
        </w:rPr>
        <w:t>.</w:t>
      </w:r>
    </w:p>
    <w:p>
      <w:pPr>
        <w:spacing w:before="100" w:beforeAutospacing="1" w:after="100" w:afterAutospacing="1" w:line="360" w:lineRule="auto"/>
        <w:outlineLvl w:val="2"/>
        <w:rPr>
          <w:rFonts w:hint="default" w:ascii="Times New Roman" w:hAnsi="Times New Roman" w:eastAsia="楷体" w:cs="Times New Roman"/>
          <w:b/>
          <w:bCs/>
          <w:color w:val="000000"/>
          <w:sz w:val="27"/>
          <w:szCs w:val="27"/>
        </w:rPr>
      </w:pPr>
      <w:r>
        <w:rPr>
          <w:rFonts w:hint="default" w:ascii="Times New Roman" w:hAnsi="Times New Roman" w:eastAsia="楷体" w:cs="Times New Roman"/>
          <w:b/>
          <w:bCs/>
          <w:color w:val="000000"/>
          <w:sz w:val="27"/>
          <w:szCs w:val="27"/>
        </w:rPr>
        <w:t>IV. Withdrawal and Removal Mechanism</w:t>
      </w:r>
    </w:p>
    <w:p>
      <w:pPr>
        <w:numPr>
          <w:ilvl w:val="0"/>
          <w:numId w:val="8"/>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Partner entities may voluntarily </w:t>
      </w:r>
      <w:r>
        <w:rPr>
          <w:rFonts w:hint="default" w:ascii="Times New Roman" w:hAnsi="Times New Roman" w:eastAsia="楷体" w:cs="Times New Roman"/>
          <w:b/>
          <w:bCs/>
          <w:color w:val="000000"/>
        </w:rPr>
        <w:t>submit a withdrawal request</w:t>
      </w:r>
      <w:r>
        <w:rPr>
          <w:rFonts w:hint="default" w:ascii="Times New Roman" w:hAnsi="Times New Roman" w:eastAsia="楷体" w:cs="Times New Roman"/>
          <w:color w:val="000000"/>
        </w:rPr>
        <w:t>, and upon review, their partnership status will be terminated.</w:t>
      </w:r>
    </w:p>
    <w:p>
      <w:pPr>
        <w:numPr>
          <w:ilvl w:val="0"/>
          <w:numId w:val="8"/>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In cases of </w:t>
      </w:r>
      <w:r>
        <w:rPr>
          <w:rFonts w:hint="default" w:ascii="Times New Roman" w:hAnsi="Times New Roman" w:eastAsia="楷体" w:cs="Times New Roman"/>
          <w:b/>
          <w:bCs/>
          <w:color w:val="000000"/>
        </w:rPr>
        <w:t>serious violations</w:t>
      </w:r>
      <w:r>
        <w:rPr>
          <w:rFonts w:hint="default" w:ascii="Times New Roman" w:hAnsi="Times New Roman" w:eastAsia="楷体" w:cs="Times New Roman"/>
          <w:color w:val="000000"/>
        </w:rPr>
        <w:t> (such as fraud, false commitments, or damaging the platform’s reputation), the partner may be </w:t>
      </w:r>
      <w:r>
        <w:rPr>
          <w:rFonts w:hint="default" w:ascii="Times New Roman" w:hAnsi="Times New Roman" w:eastAsia="楷体" w:cs="Times New Roman"/>
          <w:b/>
          <w:bCs/>
          <w:color w:val="000000"/>
        </w:rPr>
        <w:t>removed</w:t>
      </w:r>
      <w:r>
        <w:rPr>
          <w:rFonts w:hint="default" w:ascii="Times New Roman" w:hAnsi="Times New Roman" w:eastAsia="楷体" w:cs="Times New Roman"/>
          <w:color w:val="000000"/>
        </w:rPr>
        <w:t> upon committee evaluation.</w:t>
      </w:r>
    </w:p>
    <w:p>
      <w:pPr>
        <w:numPr>
          <w:ilvl w:val="0"/>
          <w:numId w:val="8"/>
        </w:numPr>
        <w:spacing w:before="100" w:beforeAutospacing="1" w:after="100" w:afterAutospacing="1" w:line="360" w:lineRule="auto"/>
        <w:rPr>
          <w:rFonts w:hint="default" w:ascii="Times New Roman" w:hAnsi="Times New Roman" w:eastAsia="楷体" w:cs="Times New Roman"/>
          <w:color w:val="000000"/>
        </w:rPr>
      </w:pPr>
      <w:r>
        <w:rPr>
          <w:rFonts w:hint="default" w:ascii="Times New Roman" w:hAnsi="Times New Roman" w:eastAsia="楷体" w:cs="Times New Roman"/>
          <w:color w:val="000000"/>
        </w:rPr>
        <w:t>Historical data and cooperation records of withdrawn partners will be </w:t>
      </w:r>
      <w:r>
        <w:rPr>
          <w:rFonts w:hint="default" w:ascii="Times New Roman" w:hAnsi="Times New Roman" w:eastAsia="楷体" w:cs="Times New Roman"/>
          <w:b/>
          <w:bCs/>
          <w:color w:val="000000"/>
        </w:rPr>
        <w:t>archived and retained</w:t>
      </w:r>
      <w:r>
        <w:rPr>
          <w:rFonts w:hint="default" w:ascii="Times New Roman" w:hAnsi="Times New Roman" w:eastAsia="楷体" w:cs="Times New Roman"/>
          <w:color w:val="000000"/>
        </w:rPr>
        <w:t> for oversight and reference purposes.</w:t>
      </w:r>
    </w:p>
    <w:p>
      <w:pPr>
        <w:spacing w:line="360" w:lineRule="auto"/>
        <w:rPr>
          <w:rFonts w:hint="default" w:ascii="Times New Roman" w:hAnsi="Times New Roman" w:eastAsia="楷体" w:cs="Times New Roman"/>
        </w:rPr>
      </w:pPr>
      <w:r>
        <w:rPr>
          <w:rFonts w:hint="default" w:ascii="Times New Roman" w:hAnsi="Times New Roman" w:eastAsia="楷体" w:cs="Times New Roman"/>
          <w14:ligatures w14:val="standardContextual"/>
        </w:rPr>
        <w:pict>
          <v:rect id="_x0000_i1026" o:spt="1" style="height:0.05pt;width:451.3pt;" fillcolor="#A0A0A0" filled="t" stroked="f" coordsize="21600,21600" o:hr="t" o:hrstd="t" o:hralign="center">
            <v:path/>
            <v:fill on="t" focussize="0,0"/>
            <v:stroke on="f"/>
            <v:imagedata o:title=""/>
            <o:lock v:ext="edit"/>
            <w10:wrap type="none"/>
            <w10:anchorlock/>
          </v:rect>
        </w:pict>
      </w:r>
    </w:p>
    <w:p>
      <w:pPr>
        <w:spacing w:before="100" w:beforeAutospacing="1" w:after="100" w:afterAutospacing="1" w:line="360" w:lineRule="auto"/>
        <w:ind w:firstLine="480" w:firstLineChars="200"/>
        <w:rPr>
          <w:rFonts w:hint="default" w:ascii="Times New Roman" w:hAnsi="Times New Roman" w:eastAsia="楷体" w:cs="Times New Roman"/>
          <w:lang w:val="en-US"/>
        </w:rPr>
      </w:pPr>
      <w:r>
        <w:rPr>
          <w:rFonts w:hint="default" w:ascii="Times New Roman" w:hAnsi="Times New Roman" w:eastAsia="楷体" w:cs="Times New Roman"/>
          <w:lang w:val="en-US"/>
        </w:rPr>
        <w:t>This Charter shall take effect from the date it is signed by the partner and approved by the Alliance. All Global Partners shall jointly commit to abiding by the above provisions, safeguarding the healthy operation of the platform and upholding the credibility of international cooperation.</w:t>
      </w:r>
    </w:p>
    <w:p>
      <w:pPr>
        <w:spacing w:before="100" w:beforeAutospacing="1" w:after="100" w:afterAutospacing="1" w:line="360" w:lineRule="auto"/>
        <w:outlineLvl w:val="1"/>
        <w:rPr>
          <w:rFonts w:hint="eastAsia" w:ascii="楷体" w:hAnsi="楷体" w:eastAsia="楷体" w:cs="MS Mincho"/>
          <w:b/>
          <w:bCs/>
          <w:sz w:val="32"/>
          <w:szCs w:val="32"/>
        </w:rPr>
      </w:pPr>
      <w:r>
        <w:rPr>
          <w:rFonts w:hint="eastAsia" w:ascii="楷体" w:hAnsi="楷体" w:eastAsia="楷体" w:cs="MS Mincho"/>
          <w:b/>
          <w:bCs/>
          <w:sz w:val="32"/>
          <w:szCs w:val="32"/>
        </w:rPr>
        <w:t>签字</w:t>
      </w:r>
      <w:r>
        <w:rPr>
          <w:rFonts w:ascii="楷体" w:hAnsi="楷体" w:eastAsia="楷体" w:cs="MS Mincho"/>
          <w:b/>
          <w:bCs/>
          <w:sz w:val="32"/>
          <w:szCs w:val="32"/>
          <w:lang w:val="en-US"/>
        </w:rPr>
        <w:t>(</w:t>
      </w:r>
      <w:r>
        <w:rPr>
          <w:rFonts w:ascii="楷体" w:hAnsi="楷体" w:eastAsia="楷体"/>
          <w:b/>
          <w:bCs/>
          <w:sz w:val="32"/>
          <w:szCs w:val="32"/>
          <w:lang w:val="en-US"/>
        </w:rPr>
        <w:t>signature</w:t>
      </w:r>
      <w:r>
        <w:rPr>
          <w:rFonts w:ascii="楷体" w:hAnsi="楷体" w:eastAsia="楷体" w:cs="MS Mincho"/>
          <w:b/>
          <w:bCs/>
          <w:sz w:val="32"/>
          <w:szCs w:val="32"/>
          <w:lang w:val="en-US"/>
        </w:rPr>
        <w:t>)</w:t>
      </w:r>
      <w:r>
        <w:rPr>
          <w:rFonts w:hint="eastAsia" w:ascii="楷体" w:hAnsi="楷体" w:eastAsia="楷体" w:cs="MS Mincho"/>
          <w:b/>
          <w:bCs/>
          <w:sz w:val="32"/>
          <w:szCs w:val="32"/>
        </w:rPr>
        <w:t>：</w:t>
      </w:r>
      <w:bookmarkStart w:id="0" w:name="_GoBack"/>
      <w:bookmarkEnd w:id="0"/>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PMingLiU">
    <w:altName w:val="宋体"/>
    <w:panose1 w:val="00000000000000000000"/>
    <w:charset w:val="86"/>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PingFang TC">
    <w:altName w:val="MingLiU-ExtB"/>
    <w:panose1 w:val="00000000000000000000"/>
    <w:charset w:val="88"/>
    <w:family w:val="swiss"/>
    <w:pitch w:val="default"/>
    <w:sig w:usb0="00000000" w:usb1="00000000" w:usb2="00000017"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515CA"/>
    <w:multiLevelType w:val="multilevel"/>
    <w:tmpl w:val="172515C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918569A"/>
    <w:multiLevelType w:val="multilevel"/>
    <w:tmpl w:val="4918569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39222C"/>
    <w:multiLevelType w:val="multilevel"/>
    <w:tmpl w:val="4E39222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4F34097"/>
    <w:multiLevelType w:val="multilevel"/>
    <w:tmpl w:val="54F3409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23716B7"/>
    <w:multiLevelType w:val="multilevel"/>
    <w:tmpl w:val="623716B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96318DD"/>
    <w:multiLevelType w:val="multilevel"/>
    <w:tmpl w:val="796318D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A9869F9"/>
    <w:multiLevelType w:val="multilevel"/>
    <w:tmpl w:val="7A9869F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E251791"/>
    <w:multiLevelType w:val="multilevel"/>
    <w:tmpl w:val="7E25179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34"/>
    <w:rsid w:val="000510DB"/>
    <w:rsid w:val="00053638"/>
    <w:rsid w:val="000B50CD"/>
    <w:rsid w:val="000B65A5"/>
    <w:rsid w:val="00172C90"/>
    <w:rsid w:val="001C5D54"/>
    <w:rsid w:val="00245D8A"/>
    <w:rsid w:val="0025320E"/>
    <w:rsid w:val="002947E8"/>
    <w:rsid w:val="002A138E"/>
    <w:rsid w:val="002F78FA"/>
    <w:rsid w:val="003242D0"/>
    <w:rsid w:val="00364872"/>
    <w:rsid w:val="003712E9"/>
    <w:rsid w:val="004107B4"/>
    <w:rsid w:val="00491610"/>
    <w:rsid w:val="004D26D0"/>
    <w:rsid w:val="005012AA"/>
    <w:rsid w:val="005273AA"/>
    <w:rsid w:val="00605C3F"/>
    <w:rsid w:val="0062192E"/>
    <w:rsid w:val="00623E37"/>
    <w:rsid w:val="006C64AC"/>
    <w:rsid w:val="006F7E24"/>
    <w:rsid w:val="00765212"/>
    <w:rsid w:val="0079097C"/>
    <w:rsid w:val="007D2AB0"/>
    <w:rsid w:val="00804EFD"/>
    <w:rsid w:val="008413AD"/>
    <w:rsid w:val="00866B11"/>
    <w:rsid w:val="008E5AC3"/>
    <w:rsid w:val="00906B32"/>
    <w:rsid w:val="009B0800"/>
    <w:rsid w:val="009B17DF"/>
    <w:rsid w:val="00A759C6"/>
    <w:rsid w:val="00AC2FD9"/>
    <w:rsid w:val="00AD4EA3"/>
    <w:rsid w:val="00AF54D9"/>
    <w:rsid w:val="00B46F1B"/>
    <w:rsid w:val="00C22489"/>
    <w:rsid w:val="00C50BAE"/>
    <w:rsid w:val="00C50E8C"/>
    <w:rsid w:val="00CA1325"/>
    <w:rsid w:val="00CD1EFA"/>
    <w:rsid w:val="00CE5988"/>
    <w:rsid w:val="00D04F6A"/>
    <w:rsid w:val="00D05B9A"/>
    <w:rsid w:val="00D8670B"/>
    <w:rsid w:val="00D95B20"/>
    <w:rsid w:val="00DA7EC3"/>
    <w:rsid w:val="00DF08B4"/>
    <w:rsid w:val="00E17128"/>
    <w:rsid w:val="00E57BF9"/>
    <w:rsid w:val="00E673CA"/>
    <w:rsid w:val="00EB6BE0"/>
    <w:rsid w:val="00EF2443"/>
    <w:rsid w:val="00F27D87"/>
    <w:rsid w:val="00F37934"/>
    <w:rsid w:val="00F5541F"/>
    <w:rsid w:val="00F61894"/>
    <w:rsid w:val="00FD6DBB"/>
    <w:rsid w:val="23F27590"/>
    <w:rsid w:val="70A4488A"/>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SG" w:eastAsia="zh-CN"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kern w:val="2"/>
      <w:sz w:val="40"/>
      <w:szCs w:val="40"/>
      <w:lang w:eastAsia="zh-TW"/>
      <w14:ligatures w14:val="standardContextual"/>
    </w:rPr>
  </w:style>
  <w:style w:type="paragraph" w:styleId="3">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104862" w:themeColor="accent1" w:themeShade="BF"/>
      <w:kern w:val="2"/>
      <w:sz w:val="32"/>
      <w:szCs w:val="32"/>
      <w:lang w:eastAsia="zh-TW"/>
      <w14:ligatures w14:val="standardContextual"/>
    </w:rPr>
  </w:style>
  <w:style w:type="paragraph" w:styleId="4">
    <w:name w:val="heading 3"/>
    <w:basedOn w:val="1"/>
    <w:next w:val="1"/>
    <w:link w:val="21"/>
    <w:unhideWhenUsed/>
    <w:qFormat/>
    <w:uiPriority w:val="9"/>
    <w:pPr>
      <w:keepNext/>
      <w:keepLines/>
      <w:spacing w:before="160" w:after="80"/>
      <w:outlineLvl w:val="2"/>
    </w:pPr>
    <w:rPr>
      <w:rFonts w:asciiTheme="minorHAnsi" w:hAnsiTheme="minorHAnsi" w:eastAsiaTheme="majorEastAsia" w:cstheme="majorBidi"/>
      <w:color w:val="104862" w:themeColor="accent1" w:themeShade="BF"/>
      <w:kern w:val="2"/>
      <w:sz w:val="28"/>
      <w:szCs w:val="28"/>
      <w:lang w:eastAsia="zh-TW"/>
      <w14:ligatures w14:val="standardContextual"/>
    </w:rPr>
  </w:style>
  <w:style w:type="paragraph" w:styleId="5">
    <w:name w:val="heading 4"/>
    <w:basedOn w:val="1"/>
    <w:next w:val="1"/>
    <w:link w:val="22"/>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kern w:val="2"/>
      <w:lang w:eastAsia="zh-TW"/>
      <w14:ligatures w14:val="standardContextual"/>
    </w:rPr>
  </w:style>
  <w:style w:type="paragraph" w:styleId="6">
    <w:name w:val="heading 5"/>
    <w:basedOn w:val="1"/>
    <w:next w:val="1"/>
    <w:link w:val="23"/>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kern w:val="2"/>
      <w:lang w:eastAsia="zh-TW"/>
      <w14:ligatures w14:val="standardContextual"/>
    </w:rPr>
  </w:style>
  <w:style w:type="paragraph" w:styleId="7">
    <w:name w:val="heading 6"/>
    <w:basedOn w:val="1"/>
    <w:next w:val="1"/>
    <w:link w:val="24"/>
    <w:semiHidden/>
    <w:unhideWhenUsed/>
    <w:qFormat/>
    <w:uiPriority w:val="9"/>
    <w:pPr>
      <w:keepNext/>
      <w:keepLines/>
      <w:spacing w:before="40"/>
      <w:outlineLvl w:val="5"/>
    </w:pPr>
    <w:rPr>
      <w:rFonts w:asciiTheme="minorHAnsi" w:hAnsiTheme="minorHAnsi" w:eastAsiaTheme="majorEastAsia" w:cstheme="majorBidi"/>
      <w:i/>
      <w:iCs/>
      <w:color w:val="595959" w:themeColor="text1" w:themeTint="A6"/>
      <w:kern w:val="2"/>
      <w:lang w:eastAsia="zh-TW"/>
      <w14:textFill>
        <w14:solidFill>
          <w14:schemeClr w14:val="tx1">
            <w14:lumMod w14:val="65000"/>
            <w14:lumOff w14:val="35000"/>
          </w14:schemeClr>
        </w14:solidFill>
      </w14:textFill>
      <w14:ligatures w14:val="standardContextual"/>
    </w:rPr>
  </w:style>
  <w:style w:type="paragraph" w:styleId="8">
    <w:name w:val="heading 7"/>
    <w:basedOn w:val="1"/>
    <w:next w:val="1"/>
    <w:link w:val="25"/>
    <w:semiHidden/>
    <w:unhideWhenUsed/>
    <w:qFormat/>
    <w:uiPriority w:val="9"/>
    <w:pPr>
      <w:keepNext/>
      <w:keepLines/>
      <w:spacing w:before="40"/>
      <w:outlineLvl w:val="6"/>
    </w:pPr>
    <w:rPr>
      <w:rFonts w:asciiTheme="minorHAnsi" w:hAnsiTheme="minorHAnsi" w:eastAsiaTheme="majorEastAsia" w:cstheme="majorBidi"/>
      <w:color w:val="595959" w:themeColor="text1" w:themeTint="A6"/>
      <w:kern w:val="2"/>
      <w:lang w:eastAsia="zh-TW"/>
      <w14:textFill>
        <w14:solidFill>
          <w14:schemeClr w14:val="tx1">
            <w14:lumMod w14:val="65000"/>
            <w14:lumOff w14:val="35000"/>
          </w14:schemeClr>
        </w14:solidFill>
      </w14:textFill>
      <w14:ligatures w14:val="standardContextual"/>
    </w:rPr>
  </w:style>
  <w:style w:type="paragraph" w:styleId="9">
    <w:name w:val="heading 8"/>
    <w:basedOn w:val="1"/>
    <w:next w:val="1"/>
    <w:link w:val="26"/>
    <w:semiHidden/>
    <w:unhideWhenUsed/>
    <w:qFormat/>
    <w:uiPriority w:val="9"/>
    <w:pPr>
      <w:keepNext/>
      <w:keepLines/>
      <w:outlineLvl w:val="7"/>
    </w:pPr>
    <w:rPr>
      <w:rFonts w:asciiTheme="minorHAnsi" w:hAnsiTheme="minorHAnsi" w:eastAsiaTheme="majorEastAsia" w:cstheme="majorBidi"/>
      <w:i/>
      <w:iCs/>
      <w:color w:val="262626" w:themeColor="text1" w:themeTint="D9"/>
      <w:kern w:val="2"/>
      <w:lang w:eastAsia="zh-TW"/>
      <w14:textFill>
        <w14:solidFill>
          <w14:schemeClr w14:val="tx1">
            <w14:lumMod w14:val="85000"/>
            <w14:lumOff w14:val="15000"/>
          </w14:schemeClr>
        </w14:solidFill>
      </w14:textFill>
      <w14:ligatures w14:val="standardContextual"/>
    </w:rPr>
  </w:style>
  <w:style w:type="paragraph" w:styleId="10">
    <w:name w:val="heading 9"/>
    <w:basedOn w:val="1"/>
    <w:next w:val="1"/>
    <w:link w:val="27"/>
    <w:semiHidden/>
    <w:unhideWhenUsed/>
    <w:qFormat/>
    <w:uiPriority w:val="9"/>
    <w:pPr>
      <w:keepNext/>
      <w:keepLines/>
      <w:outlineLvl w:val="8"/>
    </w:pPr>
    <w:rPr>
      <w:rFonts w:asciiTheme="minorHAnsi" w:hAnsiTheme="minorHAnsi" w:eastAsiaTheme="majorEastAsia" w:cstheme="majorBidi"/>
      <w:color w:val="262626" w:themeColor="text1" w:themeTint="D9"/>
      <w:kern w:val="2"/>
      <w:lang w:eastAsia="zh-TW"/>
      <w14:textFill>
        <w14:solidFill>
          <w14:schemeClr w14:val="tx1">
            <w14:lumMod w14:val="85000"/>
            <w14:lumOff w14:val="15000"/>
          </w14:schemeClr>
        </w14:solidFill>
      </w14:textFill>
      <w14:ligatures w14:val="standardContextual"/>
    </w:rPr>
  </w:style>
  <w:style w:type="character" w:default="1" w:styleId="15">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11">
    <w:name w:val="Body Text"/>
    <w:basedOn w:val="1"/>
    <w:link w:val="37"/>
    <w:qFormat/>
    <w:uiPriority w:val="1"/>
    <w:pPr>
      <w:widowControl w:val="0"/>
      <w:autoSpaceDE w:val="0"/>
      <w:autoSpaceDN w:val="0"/>
      <w:ind w:left="100"/>
    </w:pPr>
    <w:rPr>
      <w:rFonts w:ascii="宋体" w:hAnsi="宋体" w:eastAsia="宋体" w:cs="宋体"/>
      <w:sz w:val="28"/>
      <w:szCs w:val="28"/>
      <w:lang w:val="en-US"/>
    </w:rPr>
  </w:style>
  <w:style w:type="paragraph" w:styleId="12">
    <w:name w:val="Subtitle"/>
    <w:basedOn w:val="1"/>
    <w:next w:val="1"/>
    <w:link w:val="29"/>
    <w:qFormat/>
    <w:uiPriority w:val="11"/>
    <w:pPr>
      <w:spacing w:after="160"/>
    </w:pPr>
    <w:rPr>
      <w:rFonts w:asciiTheme="minorHAnsi" w:hAnsiTheme="minorHAnsi" w:eastAsiaTheme="majorEastAsia" w:cstheme="majorBidi"/>
      <w:color w:val="595959" w:themeColor="text1" w:themeTint="A6"/>
      <w:spacing w:val="15"/>
      <w:kern w:val="2"/>
      <w:sz w:val="28"/>
      <w:szCs w:val="28"/>
      <w:lang w:eastAsia="zh-TW"/>
      <w14:textFill>
        <w14:solidFill>
          <w14:schemeClr w14:val="tx1">
            <w14:lumMod w14:val="65000"/>
            <w14:lumOff w14:val="35000"/>
          </w14:schemeClr>
        </w14:solidFill>
      </w14:textFill>
      <w14:ligatures w14:val="standardContextual"/>
    </w:rPr>
  </w:style>
  <w:style w:type="paragraph" w:styleId="13">
    <w:name w:val="Normal (Web)"/>
    <w:basedOn w:val="1"/>
    <w:semiHidden/>
    <w:unhideWhenUsed/>
    <w:qFormat/>
    <w:uiPriority w:val="99"/>
    <w:pPr>
      <w:spacing w:before="100" w:beforeAutospacing="1" w:after="100" w:afterAutospacing="1"/>
    </w:pPr>
  </w:style>
  <w:style w:type="paragraph" w:styleId="14">
    <w:name w:val="Title"/>
    <w:basedOn w:val="1"/>
    <w:next w:val="1"/>
    <w:link w:val="28"/>
    <w:qFormat/>
    <w:uiPriority w:val="10"/>
    <w:pPr>
      <w:spacing w:after="80"/>
      <w:contextualSpacing/>
    </w:pPr>
    <w:rPr>
      <w:rFonts w:asciiTheme="majorHAnsi" w:hAnsiTheme="majorHAnsi" w:eastAsiaTheme="majorEastAsia" w:cstheme="majorBidi"/>
      <w:spacing w:val="-10"/>
      <w:kern w:val="28"/>
      <w:sz w:val="56"/>
      <w:szCs w:val="56"/>
      <w:lang w:eastAsia="zh-TW"/>
      <w14:ligatures w14:val="standardContextual"/>
    </w:rPr>
  </w:style>
  <w:style w:type="character" w:styleId="16">
    <w:name w:val="Strong"/>
    <w:basedOn w:val="15"/>
    <w:qFormat/>
    <w:uiPriority w:val="22"/>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字符"/>
    <w:basedOn w:val="15"/>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2 字符"/>
    <w:basedOn w:val="15"/>
    <w:link w:val="3"/>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3 字符"/>
    <w:basedOn w:val="15"/>
    <w:link w:val="4"/>
    <w:qFormat/>
    <w:uiPriority w:val="9"/>
    <w:rPr>
      <w:rFonts w:eastAsiaTheme="majorEastAsia" w:cstheme="majorBidi"/>
      <w:color w:val="104862" w:themeColor="accent1" w:themeShade="BF"/>
      <w:sz w:val="28"/>
      <w:szCs w:val="28"/>
    </w:rPr>
  </w:style>
  <w:style w:type="character" w:customStyle="1" w:styleId="22">
    <w:name w:val="标题 4 字符"/>
    <w:basedOn w:val="15"/>
    <w:link w:val="5"/>
    <w:qFormat/>
    <w:uiPriority w:val="9"/>
    <w:rPr>
      <w:rFonts w:eastAsiaTheme="majorEastAsia" w:cstheme="majorBidi"/>
      <w:i/>
      <w:iCs/>
      <w:color w:val="104862" w:themeColor="accent1" w:themeShade="BF"/>
    </w:rPr>
  </w:style>
  <w:style w:type="character" w:customStyle="1" w:styleId="23">
    <w:name w:val="标题 5 字符"/>
    <w:basedOn w:val="15"/>
    <w:link w:val="6"/>
    <w:semiHidden/>
    <w:qFormat/>
    <w:uiPriority w:val="9"/>
    <w:rPr>
      <w:rFonts w:eastAsiaTheme="majorEastAsia" w:cstheme="majorBidi"/>
      <w:color w:val="104862" w:themeColor="accent1" w:themeShade="BF"/>
    </w:rPr>
  </w:style>
  <w:style w:type="character" w:customStyle="1" w:styleId="24">
    <w:name w:val="标题 6 字符"/>
    <w:basedOn w:val="15"/>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标题 7 字符"/>
    <w:basedOn w:val="15"/>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8 字符"/>
    <w:basedOn w:val="15"/>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标题 9 字符"/>
    <w:basedOn w:val="15"/>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标题 字符"/>
    <w:basedOn w:val="15"/>
    <w:link w:val="14"/>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5"/>
    <w:link w:val="1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rFonts w:asciiTheme="minorHAnsi" w:hAnsiTheme="minorHAnsi" w:eastAsiaTheme="minorEastAsia" w:cstheme="minorBidi"/>
      <w:i/>
      <w:iCs/>
      <w:color w:val="404040" w:themeColor="text1" w:themeTint="BF"/>
      <w:kern w:val="2"/>
      <w:lang w:eastAsia="zh-TW"/>
      <w14:textFill>
        <w14:solidFill>
          <w14:schemeClr w14:val="tx1">
            <w14:lumMod w14:val="75000"/>
            <w14:lumOff w14:val="25000"/>
          </w14:schemeClr>
        </w14:solidFill>
      </w14:textFill>
      <w14:ligatures w14:val="standardContextual"/>
    </w:rPr>
  </w:style>
  <w:style w:type="character" w:customStyle="1" w:styleId="31">
    <w:name w:val="引用 字符"/>
    <w:basedOn w:val="15"/>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rPr>
      <w:rFonts w:asciiTheme="minorHAnsi" w:hAnsiTheme="minorHAnsi" w:eastAsiaTheme="minorEastAsia" w:cstheme="minorBidi"/>
      <w:kern w:val="2"/>
      <w:lang w:eastAsia="zh-TW"/>
      <w14:ligatures w14:val="standardContextual"/>
    </w:rPr>
  </w:style>
  <w:style w:type="character" w:customStyle="1" w:styleId="33">
    <w:name w:val="Intense Emphasis"/>
    <w:basedOn w:val="15"/>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kern w:val="2"/>
      <w:lang w:eastAsia="zh-TW"/>
      <w14:ligatures w14:val="standardContextual"/>
    </w:rPr>
  </w:style>
  <w:style w:type="character" w:customStyle="1" w:styleId="35">
    <w:name w:val="明显引用 字符"/>
    <w:basedOn w:val="15"/>
    <w:link w:val="34"/>
    <w:qFormat/>
    <w:uiPriority w:val="30"/>
    <w:rPr>
      <w:i/>
      <w:iCs/>
      <w:color w:val="104862" w:themeColor="accent1" w:themeShade="BF"/>
    </w:rPr>
  </w:style>
  <w:style w:type="character" w:customStyle="1" w:styleId="36">
    <w:name w:val="Intense Reference"/>
    <w:basedOn w:val="15"/>
    <w:qFormat/>
    <w:uiPriority w:val="32"/>
    <w:rPr>
      <w:b/>
      <w:bCs/>
      <w:smallCaps/>
      <w:color w:val="104862" w:themeColor="accent1" w:themeShade="BF"/>
      <w:spacing w:val="5"/>
    </w:rPr>
  </w:style>
  <w:style w:type="character" w:customStyle="1" w:styleId="37">
    <w:name w:val="正文文本 字符"/>
    <w:basedOn w:val="15"/>
    <w:link w:val="11"/>
    <w:qFormat/>
    <w:uiPriority w:val="1"/>
    <w:rPr>
      <w:rFonts w:ascii="宋体" w:hAnsi="宋体" w:eastAsia="宋体" w:cs="宋体"/>
      <w:kern w:val="0"/>
      <w:sz w:val="28"/>
      <w:szCs w:val="28"/>
      <w:lang w:val="en-US" w:eastAsia="zh-CN"/>
      <w14:ligatures w14:val="none"/>
    </w:rPr>
  </w:style>
  <w:style w:type="character" w:customStyle="1" w:styleId="38">
    <w:name w:val="apple-converted-space"/>
    <w:basedOn w:val="1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1022</Words>
  <Characters>2941</Characters>
  <Lines>65</Lines>
  <Paragraphs>50</Paragraphs>
  <TotalTime>10</TotalTime>
  <ScaleCrop>false</ScaleCrop>
  <LinksUpToDate>false</LinksUpToDate>
  <CharactersWithSpaces>3276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2025-06-22T12:51:00Z</dcterms:created>
  <dc:creator>Shuoyang Zhu</dc:creator>
  <cp:lastModifiedBy>admin</cp:lastModifiedBy>
  <dcterms:modified xsi:type="dcterms:W3CDTF">2025-08-27T03:17:22Z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70BEDAEB7A554071B1CD6264068E4D36_13</vt:lpwstr>
  </property>
</Properties>
</file>